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C25EF" w:rsidR="002F6506" w:rsidP="002F6506" w:rsidRDefault="002F6506">
      <w:pPr>
        <w:pStyle w:val="Heading3"/>
        <w:rPr>
          <w:b/>
          <w:bCs/>
        </w:rPr>
      </w:pPr>
      <w:bookmarkStart w:name="_Toc404851628" w:id="0"/>
      <w:r w:rsidRPr="582F23E0">
        <w:t xml:space="preserve">Preguntas orientativas para el debate</w:t>
      </w:r>
      <w:bookmarkStart w:name="_GoBack" w:id="1"/>
      <w:bookmarkEnd w:id="0"/>
      <w:bookmarkEnd w:id="1"/>
    </w:p>
    <w:p w:rsidR="002F6506" w:rsidP="002F6506" w:rsidRDefault="002F6506"/>
    <w:p w:rsidR="002F6506" w:rsidP="002F6506" w:rsidRDefault="002F6506">
      <w:pPr>
        <w:pStyle w:val="ListParagraph"/>
        <w:numPr>
          <w:ilvl w:val="0"/>
          <w:numId w:val="23"/>
        </w:numPr>
        <w:spacing w:after="0"/>
        <w:rPr>
          <w:rFonts w:ascii="Arial" w:hAnsi="Arial" w:eastAsia="Arial" w:cs="Arial"/>
        </w:rPr>
      </w:pPr>
      <w:r w:rsidRPr="6B082B04">
        <w:rPr>
          <w:rFonts w:ascii="Arial" w:hAnsi="Arial" w:eastAsia="Arial" w:cs="Arial"/>
        </w:rPr>
        <w:t xml:space="preserve">Estas preguntas </w:t>
      </w:r>
      <w:r w:rsidRPr="6B082B04">
        <w:rPr>
          <w:rFonts w:ascii="Arial" w:hAnsi="Arial" w:eastAsia="Arial" w:cs="Arial"/>
          <w:b/>
          <w:bCs/>
        </w:rPr>
        <w:t xml:space="preserve">sirven de guía </w:t>
      </w:r>
      <w:r w:rsidRPr="6B082B04">
        <w:rPr>
          <w:rFonts w:ascii="Arial" w:hAnsi="Arial" w:eastAsia="Arial" w:cs="Arial"/>
        </w:rPr>
        <w:t xml:space="preserve">para el debate, pero no es necesario responderlas de forma exhaustiva.</w:t>
      </w:r>
    </w:p>
    <w:p w:rsidR="002F6506" w:rsidP="002F6506" w:rsidRDefault="002F6506">
      <w:pPr>
        <w:pStyle w:val="ListParagraph"/>
        <w:numPr>
          <w:ilvl w:val="0"/>
          <w:numId w:val="23"/>
        </w:numPr>
        <w:spacing w:after="0"/>
        <w:rPr>
          <w:rFonts w:ascii="Arial" w:hAnsi="Arial" w:eastAsia="Arial" w:cs="Arial"/>
          <w:b/>
          <w:bCs/>
        </w:rPr>
      </w:pPr>
      <w:r w:rsidRPr="732BBE29">
        <w:rPr>
          <w:rFonts w:ascii="Arial" w:hAnsi="Arial" w:eastAsia="Arial" w:cs="Arial"/>
          <w:b/>
          <w:bCs/>
        </w:rPr>
        <w:t xml:space="preserve">Las fichas de puntuación </w:t>
      </w:r>
      <w:r w:rsidRPr="732BBE29">
        <w:rPr>
          <w:rFonts w:ascii="Arial" w:hAnsi="Arial" w:eastAsia="Arial" w:cs="Arial"/>
        </w:rPr>
        <w:t xml:space="preserve">sirven de </w:t>
      </w:r>
      <w:r w:rsidRPr="732BBE29">
        <w:rPr>
          <w:rFonts w:ascii="Arial" w:hAnsi="Arial" w:eastAsia="Arial" w:cs="Arial"/>
          <w:b/>
          <w:bCs/>
        </w:rPr>
        <w:t xml:space="preserve">orientación</w:t>
      </w:r>
      <w:r w:rsidRPr="732BBE29">
        <w:rPr>
          <w:rFonts w:ascii="Arial" w:hAnsi="Arial" w:eastAsia="Arial" w:cs="Arial"/>
        </w:rPr>
        <w:t xml:space="preserve">: ayudan a decidir las puntuaciones, pero ninguna definición se </w:t>
      </w:r>
      <w:r w:rsidRPr="732BBE29">
        <w:rPr>
          <w:rFonts w:ascii="Arial" w:hAnsi="Arial" w:eastAsia="Arial" w:cs="Arial"/>
          <w:b/>
          <w:bCs/>
        </w:rPr>
        <w:t xml:space="preserve">ajustará perfectamente </w:t>
      </w:r>
      <w:r w:rsidRPr="732BBE29">
        <w:rPr>
          <w:rFonts w:ascii="Arial" w:hAnsi="Arial" w:eastAsia="Arial" w:cs="Arial"/>
        </w:rPr>
        <w:t xml:space="preserve">al contexto específico de un país. Úselas como </w:t>
      </w:r>
      <w:r w:rsidRPr="732BBE29">
        <w:rPr>
          <w:rFonts w:ascii="Arial" w:hAnsi="Arial" w:eastAsia="Arial" w:cs="Arial"/>
          <w:b/>
          <w:bCs/>
        </w:rPr>
        <w:t xml:space="preserve">punto de referencia.</w:t>
      </w:r>
    </w:p>
    <w:p w:rsidR="002F6506" w:rsidP="002F6506" w:rsidRDefault="002F6506"/>
    <w:p w:rsidR="002F6506" w:rsidP="002F6506" w:rsidRDefault="002F6506">
      <w:pPr>
        <w:spacing w:after="200" w:line="288" w:lineRule="auto"/>
        <w:rPr>
          <w:rFonts w:ascii="Arial" w:hAnsi="Arial" w:eastAsia="Arial" w:cs="Arial"/>
          <w:color w:val="2E74B5" w:themeColor="accent1" w:themeShade="BF"/>
        </w:rPr>
      </w:pPr>
      <w:r w:rsidRPr="59EE174B">
        <w:rPr>
          <w:rFonts w:ascii="Arial" w:hAnsi="Arial" w:eastAsia="Arial" w:cs="Arial"/>
          <w:b/>
          <w:bCs/>
          <w:color w:val="2E74B5" w:themeColor="accent1" w:themeShade="BF"/>
          <w:lang w:val="en-GB"/>
        </w:rPr>
        <w:t xml:space="preserve">Preguntas orientativas para el Principio 2: </w:t>
      </w:r>
      <w:r w:rsidRPr="59EE174B">
        <w:rPr>
          <w:rFonts w:ascii="Arial" w:hAnsi="Arial" w:eastAsia="Arial" w:cs="Arial"/>
          <w:color w:val="2E74B5" w:themeColor="accent1" w:themeShade="BF"/>
          <w:lang w:val="en-GB"/>
        </w:rPr>
        <w:t xml:space="preserve">Marco jurídico y normativo favorable que permita la asociación</w:t>
      </w:r>
    </w:p>
    <w:tbl>
      <w:tblPr>
        <w:tblStyle w:val="TableGrid"/>
        <w:tblW w:w="9071" w:type="dxa"/>
        <w:tblLayout w:type="fixed"/>
        <w:tblLook w:val="06a0"/>
      </w:tblPr>
      <w:tblGrid>
        <w:gridCol w:w="9071"/>
      </w:tblGrid>
      <w:tr w:rsidR="002F6506" w:rsidTr="006B5817">
        <w:trPr>
          <w:trHeight w:val="2175"/>
        </w:trPr>
        <w:tc>
          <w:tcPr>
            <w:tcW w:w="9071" w:type="dxa"/>
            <w:vAlign w:val="center"/>
          </w:tcPr>
          <w:p w:rsidR="002F6506" w:rsidP="006B5817" w:rsidRDefault="002F6506">
            <w:pPr>
              <w:spacing w:line="288" w:lineRule="auto"/>
              <w:rPr>
                <w:rFonts w:ascii="Arial" w:hAnsi="Arial" w:eastAsia="Arial" w:cs="Arial"/>
                <w:sz w:val="12"/>
                <w:szCs w:val="12"/>
              </w:rPr>
            </w:pPr>
            <w:r w:rsidRPr="59EE174B">
              <w:rPr>
                <w:rFonts w:ascii="Segoe UI Emoji" w:hAnsi="Segoe UI Emoji" w:eastAsia="Segoe UI Emoji" w:cs="Segoe UI Emoji"/>
              </w:rPr>
              <w:t xml:space="preserve">❕ </w:t>
            </w:r>
            <w:r w:rsidRPr="59EE174B">
              <w:rPr>
                <w:rFonts w:ascii="Arial" w:hAnsi="Arial" w:eastAsia="Arial" w:cs="Arial"/>
              </w:rPr>
              <w:t xml:space="preserve">El Principio 2 se centra únicamente en lo que está legalmente permitido o restringido, más que en cómo se respeta y protege la asociación en la práctica, lo cual se aborda en el Principio 1, o en el acceso a la financiación en la práctica, que se trata en el Principio 3. </w:t>
            </w:r>
            <w:r>
              <w:br/>
            </w:r>
          </w:p>
          <w:p w:rsidR="002F6506" w:rsidP="006B5817" w:rsidRDefault="002F6506">
            <w:pPr>
              <w:spacing w:line="288" w:lineRule="auto"/>
              <w:rPr>
                <w:rFonts w:ascii="Arial" w:hAnsi="Arial" w:eastAsia="Arial" w:cs="Arial"/>
                <w:color w:val="000000" w:themeColor="text1"/>
              </w:rPr>
            </w:pPr>
            <w:r w:rsidRPr="437F2A18">
              <w:rPr>
                <w:rFonts w:ascii="Segoe UI Emoji" w:hAnsi="Segoe UI Emoji" w:eastAsia="Segoe UI Emoji" w:cs="Segoe UI Emoji"/>
              </w:rPr>
              <w:t xml:space="preserve">❕ </w:t>
            </w:r>
            <w:r w:rsidRPr="437F2A18">
              <w:rPr>
                <w:rFonts w:ascii="Arial" w:hAnsi="Arial" w:eastAsia="Arial" w:cs="Arial"/>
              </w:rPr>
              <w:t xml:space="preserve">Dado este enfoque jurídico y la existencia de múltiples marcos legales para diferentes tipos de actores de la sociedad civil, el alcance se limita a las OSC formales y estructuradas que operan dentro de la sociedad civil, es decir, las ONG y organizaciones similares.</w:t>
            </w:r>
          </w:p>
        </w:tc>
      </w:tr>
    </w:tbl>
    <w:p w:rsidR="002F6506" w:rsidP="002F6506" w:rsidRDefault="002F6506">
      <w:pPr>
        <w:spacing w:after="200" w:line="288" w:lineRule="auto"/>
        <w:rPr>
          <w:rFonts w:ascii="Arial" w:hAnsi="Arial" w:eastAsia="Arial" w:cs="Arial"/>
          <w:b/>
          <w:bCs/>
        </w:rPr>
      </w:pPr>
      <w:r>
        <w:br/>
      </w:r>
      <w:r w:rsidRPr="51D9F959">
        <w:rPr>
          <w:rFonts w:ascii="Arial" w:hAnsi="Arial" w:eastAsia="Arial" w:cs="Arial"/>
          <w:b/>
          <w:bCs/>
          <w:lang w:val="en-GB"/>
        </w:rPr>
        <w:t xml:space="preserve">2.1 | Registro </w:t>
      </w:r>
    </w:p>
    <w:p w:rsidR="002F6506" w:rsidP="002F6506" w:rsidRDefault="002F6506">
      <w:pPr>
        <w:spacing w:after="200" w:line="288" w:lineRule="auto"/>
        <w:rPr>
          <w:rFonts w:ascii="Arial" w:hAnsi="Arial" w:eastAsia="Arial" w:cs="Arial"/>
        </w:rPr>
      </w:pPr>
      <w:r w:rsidRPr="59EE174B">
        <w:rPr>
          <w:rFonts w:ascii="Arial" w:hAnsi="Arial" w:eastAsia="Arial" w:cs="Arial"/>
          <w:lang w:val="en-GB"/>
        </w:rPr>
        <w:t xml:space="preserve">Preguntas:</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6B082B04">
        <w:rPr>
          <w:rFonts w:ascii="Arial" w:hAnsi="Arial" w:eastAsia="Arial" w:cs="Arial"/>
          <w:color w:val="000000" w:themeColor="text1"/>
        </w:rPr>
        <w:t xml:space="preserve">¿En qué medida permite el marco jurídico que cualquier persona o entidad, incluidos los grupos marginados, constituya una organización? ¿Existen barreras legales o administrativas que dificulten el registro a determinados grupos?</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6B082B04">
        <w:rPr>
          <w:rFonts w:ascii="Arial" w:hAnsi="Arial" w:eastAsia="Arial" w:cs="Arial"/>
          <w:color w:val="000000" w:themeColor="text1"/>
        </w:rPr>
        <w:t xml:space="preserve">¿En qué medida son claros, accesibles y asequibles los procedimientos legales para registrar una OSC? ¿Se enfrentan las OSC a obstáculos burocráticos o financieros que desalientan el registro?</w:t>
      </w:r>
    </w:p>
    <w:p w:rsidR="002F6506" w:rsidP="002F6506" w:rsidRDefault="002F6506">
      <w:pPr>
        <w:pStyle w:val="ListParagraph"/>
        <w:numPr>
          <w:ilvl w:val="0"/>
          <w:numId w:val="22"/>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Si se deniega el registro de una OSC, ¿existen mecanismos de recurso? ¿En qué medida es transparente y eficaz el proceso de recurso?</w:t>
      </w:r>
    </w:p>
    <w:p w:rsidR="002F6506" w:rsidP="002F6506" w:rsidRDefault="002F6506">
      <w:pPr>
        <w:pStyle w:val="ListParagraph"/>
        <w:spacing w:after="0" w:line="288" w:lineRule="auto"/>
        <w:rPr>
          <w:rFonts w:ascii="Arial" w:hAnsi="Arial" w:eastAsia="Arial" w:cs="Arial"/>
          <w:color w:val="000000" w:themeColor="text1"/>
        </w:rPr>
      </w:pP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Vignetas de puntuación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Totalmente restrictivo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El marco jurídico impide de hecho la formación de OSC, ya sea prohibiéndolas directamente o imponiéndoles requisitos excesivamente restrictivos o inalcanzables. Es posible que solo se permita el registro de las OSC si se ajustan a los intereses del Gobierno. Los procedimientos de registro son muy complejos. Se desalientan o no existen los recursos contra las denegaciones de registro, y son habituales las decisiones negativas sin justificación.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Inhabilitante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El marco jurídico permite la formación de OSC, pero impone barreras significativas. El registro es poco claro, altamente burocrático,</w:t>
            </w:r>
            <w:r w:rsidRPr="59EE174B">
              <w:rPr>
                <w:rFonts w:ascii="Arial" w:hAnsi="Arial" w:eastAsia="Arial" w:cs="Arial"/>
                <w:color w:val="000000" w:themeColor="text1"/>
                <w:lang w:val="en-GB"/>
              </w:rPr>
              <w:lastRenderedPageBreak/>
            </w:r>
            <w:r w:rsidRPr="59EE174B">
              <w:rPr>
                <w:rFonts w:ascii="Arial" w:hAnsi="Arial" w:eastAsia="Arial" w:cs="Arial"/>
                <w:color w:val="000000" w:themeColor="text1"/>
                <w:lang w:val="en-GB"/>
              </w:rPr>
              <w:t xml:space="preserve"> costoso o requiere la aprobación del Estado, que puede denegarse de forma arbitraria. El proceso de apelación está teóricamente disponible, pero rara vez tiene éxito.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lastRenderedPageBreak/>
            </w:r>
            <w:r w:rsidRPr="59EE174B">
              <w:rPr>
                <w:rFonts w:ascii="Arial" w:hAnsi="Arial" w:eastAsia="Arial" w:cs="Arial"/>
                <w:b/>
                <w:bCs/>
                <w:color w:val="000000" w:themeColor="text1"/>
                <w:lang w:val="en-GB"/>
              </w:rPr>
              <w:t xml:space="preserve">Parcialmente propicio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Algunos grupos (por ejemplo, los que trabajan en cuestiones políticamente delicadas o los grupos marginados) se enfrentan a barreras legales adicionales o a un mayor escrutinio. El proceso de registro es bastante claro, pero la burocracia y los costes dificultan el registro, y los complejos requisitos de documentación o las elevadas tasas desalientan el registro. Existen mecanismos de recurso, pero son lentos, inconsistentes o rara vez conducen a resultados satisfactorios.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La mayoría de los grupos pueden registrarse, pero algunos grupos marginados se enfrentan a ciertos obstáculos administrativos, como aprobaciones adicionales o retrasos procedimentales. El registro es, en general, accesible y asequible, aunque algunas ineficiencias burocráticas pueden provocar retrasos. Los procedimientos de registro son claros, asequibles y suelen completarse en un plazo razonable. El proceso de apelación es accesible y, por lo general, justo. </w:t>
            </w:r>
          </w:p>
        </w:tc>
      </w:tr>
      <w:tr w:rsidR="002F6506" w:rsidTr="006B5817">
        <w:trPr>
          <w:trHeight w:val="156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b/>
                <w:bCs/>
                <w:color w:val="000000" w:themeColor="text1"/>
                <w:lang w:val="en-GB"/>
              </w:rPr>
              <w:t xml:space="preserve">Totalmente habilitante (5)</w:t>
            </w:r>
            <w:r w:rsidRPr="59EE174B">
              <w:rPr>
                <w:rFonts w:ascii="Arial" w:hAnsi="Arial" w:eastAsia="Arial" w:cs="Arial"/>
                <w:color w:val="000000" w:themeColor="text1"/>
                <w:lang w:val="en-GB"/>
              </w:rPr>
              <w:t xml:space="preserve"> </w:t>
            </w:r>
            <w:r>
              <w:br/>
            </w:r>
            <w:r w:rsidRPr="59EE174B">
              <w:rPr>
                <w:rFonts w:ascii="Arial" w:hAnsi="Arial" w:eastAsia="Arial" w:cs="Arial"/>
                <w:color w:val="000000" w:themeColor="text1"/>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La ley permite a cualquier persona o grupo, incluidos los grupos políticamente sensibles y las comunidades marginadas, registrar una OSC sin discriminación. Los procedimientos de registro son claros, sencillos y asequibles. Las decisiones negativas son poco frecuentes, y el proceso de apelación es eficiente, justo y rápido.  </w:t>
            </w:r>
          </w:p>
        </w:tc>
      </w:tr>
    </w:tbl>
    <w:p w:rsidR="002F6506" w:rsidP="002F6506"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 </w:t>
      </w:r>
    </w:p>
    <w:p w:rsidR="002F6506" w:rsidP="002F6506" w:rsidRDefault="002F6506">
      <w:pPr>
        <w:spacing w:after="200" w:line="288" w:lineRule="auto"/>
        <w:rPr>
          <w:rFonts w:ascii="Arial" w:hAnsi="Arial" w:eastAsia="Arial" w:cs="Arial"/>
          <w:b/>
          <w:bCs/>
        </w:rPr>
      </w:pPr>
      <w:r w:rsidRPr="59EE174B">
        <w:rPr>
          <w:rFonts w:eastAsiaTheme="minorEastAsia"/>
          <w:b/>
          <w:bCs/>
          <w:lang w:val="en-GB"/>
        </w:rPr>
        <w:t xml:space="preserve">2.2 | Entorno operativo</w:t>
      </w:r>
    </w:p>
    <w:p w:rsidR="002F6506" w:rsidP="002F6506" w:rsidRDefault="002F6506">
      <w:pPr>
        <w:spacing w:after="200" w:line="288" w:lineRule="auto"/>
        <w:rPr>
          <w:rFonts w:ascii="Arial" w:hAnsi="Arial" w:eastAsia="Arial" w:cs="Arial"/>
        </w:rPr>
      </w:pPr>
      <w:r w:rsidRPr="59EE174B">
        <w:rPr>
          <w:rFonts w:ascii="Arial" w:hAnsi="Arial" w:eastAsia="Arial" w:cs="Arial"/>
          <w:lang w:val="en-GB"/>
        </w:rPr>
        <w:t xml:space="preserve">Preguntas:</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¿Permite el marco jurídico a las OSC determinar su gobernanza interna, sus objetivos y sus actividades sin la aprobación o la injerencia del Gobierno? ¿Se exige a las OSC obtener permisos o autorizaciones previas para determinadas operaciones o actividades?</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¿A qué nivel de supervisión administrativa se enfrentan las OSC? ¿Suponen los requisitos de presentación de informes obstáculos innecesarios para sus operaciones?</w:t>
      </w:r>
    </w:p>
    <w:p w:rsidR="002F6506" w:rsidP="002F6506" w:rsidRDefault="002F6506">
      <w:pPr>
        <w:pStyle w:val="ListParagraph"/>
        <w:numPr>
          <w:ilvl w:val="0"/>
          <w:numId w:val="21"/>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¿Cómo regula el marco jurídico el acceso a la financiación de las OSC? ¿Existen restricciones a la recepción de financiación nacional e internacional que puedan limitar su capacidad de operar?</w:t>
      </w:r>
    </w:p>
    <w:p w:rsidR="002F6506" w:rsidP="002F6506" w:rsidRDefault="002F6506">
      <w:pPr>
        <w:spacing w:after="0" w:line="288" w:lineRule="auto"/>
        <w:ind w:start="720"/>
        <w:rPr>
          <w:rFonts w:ascii="Arial" w:hAnsi="Arial" w:eastAsia="Arial" w:cs="Arial"/>
          <w:color w:val="000000" w:themeColor="text1"/>
        </w:rPr>
      </w:pP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Vignetas de puntuación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Totalmente restrictivo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y reglamentos restringen severamente la capacidad de las OSC para determinar sus propios objetivos o llevar a cabo actividades legítimas. Las OSC suelen necesitar autorización para sus actividades y se enfrentan a restricciones arbitrarias. Las OSC se enfrentan a </w:t>
            </w:r>
            <w:r w:rsidRPr="59EE174B">
              <w:rPr>
                <w:rFonts w:ascii="Arial" w:hAnsi="Arial" w:eastAsia="Arial" w:cs="Arial"/>
                <w:lang w:val="en-GB"/>
              </w:rPr>
              <w:t xml:space="preserve">requisitos de información excesivos, poco claros y e</w:t>
            </w:r>
            <w:r w:rsidRPr="59EE174B">
              <w:rPr>
                <w:rFonts w:ascii="Arial" w:hAnsi="Arial" w:eastAsia="Arial" w:cs="Arial"/>
                <w:lang w:val="en-GB"/>
              </w:rPr>
              <w:lastRenderedPageBreak/>
            </w:r>
            <w:r w:rsidRPr="59EE174B">
              <w:rPr>
                <w:rFonts w:ascii="Arial" w:hAnsi="Arial" w:eastAsia="Arial" w:cs="Arial"/>
                <w:lang w:val="en-GB"/>
              </w:rPr>
              <w:t xml:space="preserve"> es, así como a obstáculos burocráticos. Existen restricciones significativas a la recepción de financiación nacional e internacional, lo que dificulta gravemente la capacidad de las OSC para operar.</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lastRenderedPageBreak/>
            </w:r>
            <w:r w:rsidRPr="59EE174B">
              <w:rPr>
                <w:rFonts w:ascii="Arial" w:hAnsi="Arial" w:eastAsia="Arial" w:cs="Arial"/>
                <w:b/>
                <w:bCs/>
                <w:lang w:val="en-GB"/>
              </w:rPr>
              <w:t xml:space="preserve">Limitante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imponen limitaciones sustanciales a la capacidad de las OSC para fijar objetivos y llevar a cabo actividades. Las OSC suelen necesitar autorización previa para determinadas actividades o se enfrentan a sanciones por incumplimiento. El Estado ejerce una supervisión burocrática significativa que retrasa u obstaculiza las actividades de las OSC. Existen restricciones a la financiación que limitan la capacidad de las OSC para acceder a recursos financieros nacionales e internacionales, en particular de fuentes que puedan considerarse políticamente o ideológicamente sensibles.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Parcialmente propicio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permiten a las OSC establecer objetivos y llevar a cabo actividades, pero con algunas limitaciones. Es posible que las OSC deban cumplir requisitos normativos, lo que puede crear obstáculos ocasionales, pero, en general, pueden operar con relativa facilidad. El acceso a la financiación nacional e internacional es posible, aunque pueden aplicarse ciertas restricciones.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suelen apoyar a las OSC a la hora de establecer objetivos y llevar a cabo actividades con una supervisión mínima. Los requisitos de presentación de informes son razonables y proporcionales al tamaño y el alcance de las OSC, lo que permite un funcionamiento fluido. La supervisión administrativa es clara, predecible y no crea barreras significativas. Las OSC tienen un acceso relativamente fácil a la financiación tanto nacional como internacional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Totalmente propicio (5)</w:t>
            </w:r>
            <w:r w:rsidRPr="59EE174B">
              <w:rPr>
                <w:rFonts w:ascii="Arial" w:hAnsi="Arial" w:eastAsia="Arial" w:cs="Arial"/>
                <w:lang w:val="en-GB"/>
              </w:rPr>
              <w:t xml:space="preserve"> </w:t>
            </w:r>
            <w:r>
              <w:br/>
            </w:r>
            <w:r w:rsidRPr="59EE174B">
              <w:rPr>
                <w:rFonts w:ascii="Arial" w:hAnsi="Arial" w:eastAsia="Arial" w:cs="Arial"/>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permiten plenamente a las OSC determinar su gobernanza interna, sus objetivos y sus actividades sin interferencias ni restricciones. No se requiere la aprobación del Gobierno para las actividades operativas ni para la gobernanza. Las OSC no se enfrentan a una supervisión administrativa indebida. Los requisitos de presentación de informes, si los hay, son sencillos y claros. No existen barreras legales ni limitaciones para acceder a la financiación tanto nacional como internacional.</w:t>
            </w:r>
          </w:p>
        </w:tc>
      </w:tr>
    </w:tbl>
    <w:p w:rsidR="002F6506" w:rsidP="002F6506" w:rsidRDefault="002F6506">
      <w:pPr>
        <w:spacing w:after="200" w:line="288" w:lineRule="auto"/>
        <w:rPr>
          <w:rFonts w:ascii="Arial" w:hAnsi="Arial" w:eastAsia="Arial" w:cs="Arial"/>
          <w:color w:val="000000" w:themeColor="text1"/>
        </w:rPr>
      </w:pPr>
      <w:r w:rsidRPr="59EE174B">
        <w:rPr>
          <w:rFonts w:ascii="Arial" w:hAnsi="Arial" w:eastAsia="Arial" w:cs="Arial"/>
          <w:color w:val="000000" w:themeColor="text1"/>
          <w:lang w:val="en-GB"/>
        </w:rPr>
        <w:t xml:space="preserve"> </w:t>
      </w:r>
    </w:p>
    <w:p w:rsidR="002F6506" w:rsidP="002F6506" w:rsidRDefault="002F6506">
      <w:pPr>
        <w:spacing w:after="200" w:line="288" w:lineRule="auto"/>
        <w:rPr>
          <w:rFonts w:ascii="Arial" w:hAnsi="Arial" w:eastAsia="Arial" w:cs="Arial"/>
          <w:color w:val="000000" w:themeColor="text1"/>
        </w:rPr>
      </w:pPr>
      <w:r w:rsidRPr="59EE174B">
        <w:rPr>
          <w:rFonts w:eastAsiaTheme="minorEastAsia"/>
          <w:b/>
          <w:bCs/>
          <w:lang w:val="en-GB"/>
        </w:rPr>
        <w:t xml:space="preserve">3.3 | Protección frente a la injerencia </w:t>
      </w:r>
      <w:r>
        <w:br/>
      </w:r>
      <w:r w:rsidRPr="59EE174B">
        <w:rPr>
          <w:rFonts w:ascii="Arial" w:hAnsi="Arial" w:eastAsia="Arial" w:cs="Arial"/>
          <w:color w:val="000000" w:themeColor="text1"/>
          <w:lang w:val="en-GB"/>
        </w:rPr>
        <w:t xml:space="preserve">  </w:t>
      </w:r>
      <w:r>
        <w:br/>
      </w:r>
      <w:r w:rsidRPr="59EE174B">
        <w:rPr>
          <w:rFonts w:ascii="Arial" w:hAnsi="Arial" w:eastAsia="Arial" w:cs="Arial"/>
          <w:color w:val="000000" w:themeColor="text1"/>
          <w:lang w:val="en-GB"/>
        </w:rPr>
        <w:t xml:space="preserve"> Preguntas:  </w:t>
      </w:r>
    </w:p>
    <w:p w:rsidR="002F6506" w:rsidP="002F6506" w:rsidRDefault="002F6506">
      <w:pPr>
        <w:pStyle w:val="ListParagraph"/>
        <w:numPr>
          <w:ilvl w:val="0"/>
          <w:numId w:val="20"/>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¿Ofrece el marco jurídico protecciones claras contra la disolución arbitraria de las OSC? ¿Están los motivos de disolución definidos explícitamente en la ley y existen mecanismos legales para que las OSC puedan impugnar decisiones motivadas políticamente o injustificadas?</w:t>
      </w:r>
    </w:p>
    <w:p w:rsidR="002F6506" w:rsidP="002F6506" w:rsidRDefault="002F6506">
      <w:pPr>
        <w:pStyle w:val="ListParagraph"/>
        <w:numPr>
          <w:ilvl w:val="0"/>
          <w:numId w:val="20"/>
        </w:numPr>
        <w:spacing w:after="0" w:line="288" w:lineRule="auto"/>
        <w:rPr>
          <w:rFonts w:ascii="Arial" w:hAnsi="Arial" w:eastAsia="Arial" w:cs="Arial"/>
          <w:color w:val="000000" w:themeColor="text1"/>
        </w:rPr>
      </w:pPr>
      <w:r w:rsidRPr="59EE174B">
        <w:rPr>
          <w:rFonts w:ascii="Arial" w:hAnsi="Arial" w:eastAsia="Arial" w:cs="Arial"/>
          <w:color w:val="000000" w:themeColor="text1"/>
        </w:rPr>
        <w:t xml:space="preserve">¿Qué disposiciones legales protegen a las OSC de la injerencia del Estado o de terceros? </w:t>
      </w:r>
    </w:p>
    <w:p w:rsidR="002F6506" w:rsidP="002F6506" w:rsidRDefault="002F6506">
      <w:pPr>
        <w:pStyle w:val="ListParagraph"/>
        <w:numPr>
          <w:ilvl w:val="0"/>
          <w:numId w:val="19"/>
        </w:numPr>
        <w:spacing w:after="0" w:line="288" w:lineRule="auto"/>
        <w:rPr>
          <w:rFonts w:ascii="Arial" w:hAnsi="Arial" w:eastAsia="Arial" w:cs="Arial"/>
          <w:color w:val="000000" w:themeColor="text1"/>
        </w:rPr>
      </w:pPr>
      <w:r w:rsidRPr="59EE174B">
        <w:rPr>
          <w:rFonts w:ascii="Arial" w:hAnsi="Arial" w:eastAsia="Arial" w:cs="Arial"/>
          <w:color w:val="000000" w:themeColor="text1"/>
        </w:rPr>
        <w:lastRenderedPageBreak/>
      </w:r>
      <w:r w:rsidRPr="59EE174B">
        <w:rPr>
          <w:rFonts w:ascii="Arial" w:hAnsi="Arial" w:eastAsia="Arial" w:cs="Arial"/>
          <w:color w:val="000000" w:themeColor="text1"/>
        </w:rPr>
        <w:t xml:space="preserve">¿Cómo regula la ley las inspecciones e intervenciones estatales, de modo que no supongan cargas indebidas, restrinjan las operaciones ni sirvan como instrumentos de control o vigilancia?</w:t>
      </w:r>
    </w:p>
    <w:p w:rsidR="002F6506" w:rsidP="002F6506" w:rsidRDefault="002F6506">
      <w:pPr>
        <w:spacing w:after="200" w:line="288" w:lineRule="auto"/>
        <w:rPr>
          <w:rFonts w:ascii="Arial" w:hAnsi="Arial" w:eastAsia="Arial" w:cs="Arial"/>
          <w:b/>
          <w:bCs/>
        </w:rPr>
      </w:pPr>
      <w:r>
        <w:br/>
      </w:r>
      <w:r w:rsidRPr="732BBE29">
        <w:rPr>
          <w:rFonts w:ascii="Arial" w:hAnsi="Arial" w:eastAsia="Arial" w:cs="Arial"/>
          <w:b/>
          <w:bCs/>
          <w:lang w:val="en-GB"/>
        </w:rPr>
        <w:t xml:space="preserve">Fichas de puntuación</w:t>
      </w:r>
    </w:p>
    <w:tbl>
      <w:tblPr>
        <w:tblW w:w="0" w:type="auto"/>
        <w:tblBorders>
          <w:top w:val="single" w:color="auto" w:sz="6" w:space="0"/>
          <w:left w:val="single" w:color="auto" w:sz="6" w:space="0"/>
          <w:bottom w:val="single" w:color="auto" w:sz="6" w:space="0"/>
          <w:right w:val="single" w:color="auto" w:sz="6" w:space="0"/>
        </w:tblBorders>
        <w:tblLayout w:type="fixed"/>
        <w:tblLook w:val="04a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Restricción total (1)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ley no ofrece protección frente a la injerencia estatal o no estatal. Las autoridades pueden disolver arbitrariamente a las OSC sin justificación, y las organizaciones no están protegidas frente a redadas policiales o cierres forzosos. Ejemplo: un gobierno promulga una ley que permite el cierre de las OSC sin el debido proceso si critican las políticas estatales.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Inhabilitación (2)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El marco jurídico ofrece una protección mínima. Las leyes de disolución son vagas o amplias, lo que permite a las autoridades actuar contra las OSC críticas. Las inspecciones son frecuentes y onerosas, y a menudo se utilizan como herramienta de acoso. Ejemplo: un país exige a todas las OSC que presenten informes financieros cada mes, con el riesgo de suspensión por errores menores.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Parcialmente propicio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Las leyes ofrecen cierta protección, pero su aplicación es inconsistente. Ciertos grupos, en particular aquellos que trabajan con grupos marginados o en temas delicados, pueden enfrentarse a interferencias por motivos políticos o a un escrutinio más estricto.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Favorable (4)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La ley protege en general a las OSC de interferencias indebidas, aunque algunas normas pueden aplicarse de forma selectiva. Se realizan inspecciones, pero son en gran medida justas y justificadas.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b/>
                <w:bCs/>
                <w:lang w:val="en-GB"/>
              </w:rPr>
              <w:t xml:space="preserve">Totalmente propicio (5)</w:t>
            </w:r>
            <w:r w:rsidRPr="59EE174B">
              <w:rPr>
                <w:rFonts w:ascii="Arial" w:hAnsi="Arial" w:eastAsia="Arial" w:cs="Arial"/>
                <w:lang w:val="en-GB"/>
              </w:rPr>
              <w:t xml:space="preserve"> </w:t>
            </w:r>
            <w:r>
              <w:br/>
            </w:r>
            <w:r w:rsidRPr="59EE174B">
              <w:rPr>
                <w:rFonts w:ascii="Arial" w:hAnsi="Arial" w:eastAsia="Arial" w:cs="Arial"/>
                <w:lang w:val="en-GB"/>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2F6506" w:rsidP="006B5817" w:rsidRDefault="002F6506">
            <w:pPr>
              <w:spacing w:after="200" w:line="288" w:lineRule="auto"/>
              <w:rPr>
                <w:rFonts w:ascii="Arial" w:hAnsi="Arial" w:eastAsia="Arial" w:cs="Arial"/>
              </w:rPr>
            </w:pPr>
            <w:r w:rsidRPr="59EE174B">
              <w:rPr>
                <w:rFonts w:ascii="Arial" w:hAnsi="Arial" w:eastAsia="Arial" w:cs="Arial"/>
                <w:lang w:val="en-GB"/>
              </w:rPr>
              <w:t xml:space="preserve">El marco jurídico protege explícitamente a las OSC de la disolución arbitraria o la injerencia. La terminología jurídica es clara. Las inspecciones e intervenciones estatales están justificadas y son objetivas, con normas claras y transparentes para su supervisión. Ejemplo: La ley exige una orden judicial para cualquier disolución, lo que garantiza que las OSC puedan impugnar las decisiones injustificadas. </w:t>
            </w:r>
          </w:p>
        </w:tc>
      </w:tr>
    </w:tbl>
    <w:p w:rsidR="002F6506" w:rsidP="002F6506" w:rsidRDefault="002F6506">
      <w:pPr>
        <w:spacing w:after="200" w:line="288" w:lineRule="auto"/>
        <w:rPr>
          <w:rFonts w:ascii="Aptos" w:hAnsi="Aptos" w:eastAsia="Aptos" w:cs="Aptos"/>
          <w:color w:val="000000" w:themeColor="text1"/>
        </w:rPr>
      </w:pPr>
    </w:p>
    <w:p w:rsidR="002F6506" w:rsidP="002F6506" w:rsidRDefault="002F6506">
      <w:pPr>
        <w:spacing w:after="200" w:line="288" w:lineRule="auto"/>
        <w:rPr>
          <w:rFonts w:ascii="Arial" w:hAnsi="Arial" w:eastAsia="Arial" w:cs="Arial"/>
          <w:color w:val="2E74B5" w:themeColor="accent1" w:themeShade="BF"/>
        </w:rPr>
      </w:pPr>
      <w:r w:rsidRPr="51D9F959">
        <w:rPr>
          <w:rFonts w:ascii="Arial" w:hAnsi="Arial" w:eastAsia="Arial" w:cs="Arial"/>
          <w:b/>
          <w:bCs/>
          <w:color w:val="2E74B5" w:themeColor="accent1" w:themeShade="BF"/>
          <w:lang w:val="en-GB"/>
        </w:rPr>
        <w:t xml:space="preserve">Preguntas orientativas para el Principio 3: </w:t>
      </w:r>
      <w:r w:rsidRPr="51D9F959">
        <w:rPr>
          <w:rFonts w:ascii="Arial" w:hAnsi="Arial" w:eastAsia="Arial" w:cs="Arial"/>
          <w:color w:val="2E74B5" w:themeColor="accent1" w:themeShade="BF"/>
          <w:lang w:val="en-GB"/>
        </w:rPr>
        <w:t xml:space="preserve">Recursos accesibles y sostenibles</w:t>
      </w:r>
    </w:p>
    <w:tbl>
      <w:tblPr>
        <w:tblStyle w:val="TableGrid"/>
        <w:tblW w:w="0" w:type="auto"/>
        <w:tblLayout w:type="fixed"/>
        <w:tblLook w:val="06a0"/>
      </w:tblPr>
      <w:tblGrid>
        <w:gridCol w:w="9015"/>
      </w:tblGrid>
      <w:tr w:rsidR="002F6506" w:rsidTr="006B5817">
        <w:trPr>
          <w:trHeight w:val="300"/>
        </w:trPr>
        <w:tc>
          <w:tcPr>
            <w:tcW w:w="9015" w:type="dxa"/>
            <w:vAlign w:val="center"/>
          </w:tcPr>
          <w:p w:rsidR="002F6506" w:rsidP="006B5817" w:rsidRDefault="002F6506">
            <w:pPr>
              <w:rPr>
                <w:rFonts w:ascii="Arial" w:hAnsi="Arial" w:eastAsia="Arial" w:cs="Arial"/>
              </w:rPr>
            </w:pPr>
            <w:r w:rsidRPr="51D9F959">
              <w:rPr>
                <w:rFonts w:ascii="Arial" w:hAnsi="Arial" w:eastAsia="Arial" w:cs="Arial"/>
              </w:rPr>
              <w:t xml:space="preserve">❕ El Principio 3 abarca tanto los recursos financieros como los no financieros a disposición de los actores de la sociedad civil.</w:t>
            </w:r>
            <w:r>
              <w:br/>
            </w:r>
          </w:p>
          <w:p w:rsidR="002F6506" w:rsidP="006B5817" w:rsidRDefault="002F6506">
            <w:pPr>
              <w:rPr>
                <w:rFonts w:ascii="Arial" w:hAnsi="Arial" w:eastAsia="Arial" w:cs="Arial"/>
              </w:rPr>
            </w:pPr>
            <w:r w:rsidRPr="51D9F959">
              <w:rPr>
                <w:rFonts w:ascii="Arial" w:hAnsi="Arial" w:eastAsia="Arial" w:cs="Arial"/>
              </w:rPr>
              <w:t xml:space="preserve">❕ Cuando la pregunta evalúe los recursos, asegúrese de tener en cuenta tanto los financieros como los no financieros. Esto incluye analizar la situación de la financiación, así como el acceso a formación, información, redes y otras formas de apoyo.</w:t>
            </w:r>
          </w:p>
        </w:tc>
      </w:tr>
    </w:tbl>
    <w:p w:rsidR="002F6506" w:rsidP="002F6506" w:rsidRDefault="002F6506">
      <w:pPr>
        <w:rPr>
          <w:rFonts w:ascii="Arial" w:hAnsi="Arial" w:eastAsia="Arial" w:cs="Arial"/>
        </w:rPr>
      </w:pPr>
    </w:p>
    <w:p w:rsidR="002F6506" w:rsidP="002F6506" w:rsidRDefault="002F6506">
      <w:pPr>
        <w:keepNext/>
        <w:keepLines/>
        <w:spacing w:after="200" w:line="288" w:lineRule="auto"/>
        <w:rPr>
          <w:rFonts w:ascii="Arial" w:hAnsi="Arial" w:eastAsia="Arial" w:cs="Arial"/>
          <w:b/>
          <w:bCs/>
        </w:rPr>
      </w:pPr>
      <w:r w:rsidRPr="51D9F959">
        <w:rPr>
          <w:rFonts w:ascii="Arial" w:hAnsi="Arial" w:eastAsia="Arial" w:cs="Arial"/>
          <w:b/>
          <w:bCs/>
          <w:lang w:val="es-ES"/>
        </w:rPr>
        <w:lastRenderedPageBreak/>
      </w:r>
      <w:r w:rsidRPr="51D9F959">
        <w:rPr>
          <w:rFonts w:ascii="Arial" w:hAnsi="Arial" w:eastAsia="Arial" w:cs="Arial"/>
          <w:b/>
          <w:bCs/>
          <w:lang w:val="es-ES"/>
        </w:rPr>
        <w:t xml:space="preserve">3.1 | Accesibilidad de los recursos</w:t>
      </w:r>
    </w:p>
    <w:p w:rsidR="002F6506" w:rsidP="002F6506" w:rsidRDefault="002F6506">
      <w:pPr>
        <w:widowControl w:val="0"/>
        <w:spacing w:before="240"/>
        <w:rPr>
          <w:rFonts w:ascii="Arial" w:hAnsi="Arial" w:eastAsia="Arial" w:cs="Arial"/>
          <w:color w:val="000000" w:themeColor="text1"/>
        </w:rPr>
      </w:pPr>
      <w:r w:rsidRPr="51D9F959">
        <w:rPr>
          <w:rFonts w:ascii="Arial" w:hAnsi="Arial" w:eastAsia="Arial" w:cs="Arial"/>
          <w:b/>
          <w:bCs/>
          <w:color w:val="000000" w:themeColor="text1"/>
          <w:lang w:val="es-ES"/>
        </w:rPr>
        <w:t xml:space="preserve">Preguntas: </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¿Disponen los actores de la sociedad civil de recursos, incluidos aquellos que trabajan en temas delicados o con grupos marginados? ¿De qué manera influyen las regulaciones gubernamentales o los procesos de aprobación en el acceso a estos recursos, especialmente para las organizaciones que trabajan en temas delicados?</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¿Tienen los actores de la sociedad civil acceso a información sobre oportunidades de financiación y tienen la capacidad de responder a las convocatorias de propuestas? ¿Están estructuradas las propuestas de financiación de manera que faciliten la solicitud y la alineación con las prioridades de financiación?</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¿Cómo afectan las políticas fiscales a la financiación? ¿Existen mecanismos, como deducciones o exenciones fiscales, que fomenten las donaciones a los actores de la sociedad civil? Por el contrario, ¿qué cargas fiscales existen que puedan restringir la capacidad de los actores de la sociedad civil para operar, como el impuesto sobre la renta de las subvenciones o la doble imposición?</w:t>
      </w:r>
    </w:p>
    <w:p w:rsidR="002F6506" w:rsidP="002F6506" w:rsidRDefault="002F6506">
      <w:pPr>
        <w:pStyle w:val="ListParagraph"/>
        <w:widowControl w:val="0"/>
        <w:numPr>
          <w:ilvl w:val="0"/>
          <w:numId w:val="18"/>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¿A qué retos se enfrentan los actores de la sociedad civil al tratar con bancos y proveedores de servicios financieros? (por ejemplo, restricciones a la apertura de cuentas, cuentas congeladas o el uso de información bancaria sensible con fines de vigilancia o intimidación)</w:t>
      </w:r>
    </w:p>
    <w:p w:rsidR="002F6506" w:rsidP="002F6506" w:rsidRDefault="002F6506">
      <w:pPr>
        <w:widowControl w:val="0"/>
        <w:spacing w:after="200" w:line="288" w:lineRule="auto"/>
        <w:rPr>
          <w:rFonts w:ascii="Arial" w:hAnsi="Arial" w:eastAsia="Arial" w:cs="Arial"/>
          <w:b/>
          <w:bCs/>
        </w:rPr>
      </w:pPr>
      <w:r w:rsidRPr="732BBE29">
        <w:rPr>
          <w:rFonts w:ascii="Arial" w:hAnsi="Arial" w:eastAsia="Arial" w:cs="Arial"/>
          <w:b/>
          <w:bCs/>
          <w:lang w:val="en-GB"/>
        </w:rPr>
        <w:t xml:space="preserve">Vignetas de puntuación</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Totalmente incapacitante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La financiación es prácticamente inexistente y los recursos disponibles son muy limitados. Los actores de la sociedad civil se enfrentan a barreras extremas para acceder a los servicios financieros, ya que los bancos rechazan o imponen restricciones sustanciales a las cuentas de las ONG. La fiscalidad es excesiva y no existen exenciones ni incentivos para los actores de la sociedad civil o los donantes. Existe un entorno hostil sin un apoyo significativo para la sociedad civil.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Obstaculizante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La financiación es escasa y los actores de la sociedad civil se enfrentan a importantes barreras para acceder a ella. La información sobre los fondos disponibles es limitada y los procesos de aprobación son arbitrarios, con retrasos excesivos u obstáculos burocráticos. Las autoridades gubernamentales y las instituciones financieras imponen medidas restrictivas. La normativa fiscal ofrece exenciones o deducciones mínimas, y los donantes reciben pocos o ningún incentivo.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Parcialmente propicio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Hay financiación disponible hasta cierto punto, pero el acceso se ve obstaculizado por procesos burocráticos, y siguen existiendo algunas restricciones. Existe información sobre las fuentes de financiación, pero puede ser difícil de encontrar o acceder a ella. Los bancos permiten las operaciones de los actores de la sociedad civil, pero a menudo imponen restricciones innecesarias, como comisiones más elevadas o requisitos adicionales. Algunos actores de la sociedad civil se enfrentan a desventajas, por ejemplo, los que trabajan en temas sensibles o con comunidades marginadas. Existen algunas exenciones o deducciones fiscales, pero pueden ser complicadas o aplicarse de forma inconsistente. Los donantes reciben incentivos limitados por sus contribuciones.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51D9F959">
              <w:rPr>
                <w:rFonts w:ascii="Arial" w:hAnsi="Arial" w:eastAsia="Arial" w:cs="Arial"/>
                <w:color w:val="000000" w:themeColor="text1"/>
                <w:lang w:val="en-US"/>
              </w:rPr>
              <w:t xml:space="preserve">Hay financiación disponible. El Estado proporciona un marco claro y favorable para el acceso a la financiación, con información fácilmente disponible, restricciones mínimas y procesos de aprobación eficientes</w:t>
            </w:r>
            <w:r w:rsidRPr="51D9F959">
              <w:rPr>
                <w:rFonts w:ascii="Arial" w:hAnsi="Arial" w:eastAsia="Arial" w:cs="Arial"/>
                <w:color w:val="000000" w:themeColor="text1"/>
                <w:lang w:val="en-US"/>
              </w:rPr>
              <w:t xml:space="preserve">.</w:t>
            </w:r>
            <w:r w:rsidRPr="51D9F959">
              <w:rPr>
                <w:rFonts w:ascii="Arial" w:hAnsi="Arial" w:eastAsia="Arial" w:cs="Arial"/>
                <w:color w:val="000000" w:themeColor="text1"/>
                <w:lang w:val="en-US"/>
              </w:rPr>
              <w:t xml:space="preserve"> Los bancos </w:t>
            </w:r>
            <w:r w:rsidRPr="51D9F959">
              <w:rPr>
                <w:rFonts w:ascii="Arial" w:hAnsi="Arial" w:eastAsia="Arial" w:cs="Arial"/>
                <w:lang w:val="en-US"/>
              </w:rPr>
              <w:t xml:space="preserve">facilitan el acceso a los servicios con comisiones mínimas y pocas restricciones para los actores </w:t>
            </w:r>
            <w:r w:rsidRPr="51D9F959">
              <w:rPr>
                <w:rFonts w:ascii="Arial" w:hAnsi="Arial" w:eastAsia="Arial" w:cs="Arial"/>
                <w:color w:val="000000" w:themeColor="text1"/>
                <w:lang w:val="en-US"/>
              </w:rPr>
              <w:t xml:space="preserve">de la sociedad civil</w:t>
            </w:r>
            <w:r w:rsidRPr="51D9F959">
              <w:rPr>
                <w:rFonts w:ascii="Arial" w:hAnsi="Arial" w:eastAsia="Arial" w:cs="Arial"/>
                <w:lang w:val="en-US"/>
              </w:rPr>
              <w:t xml:space="preserve">. </w:t>
            </w:r>
            <w:r w:rsidRPr="51D9F959">
              <w:rPr>
                <w:rFonts w:ascii="Arial" w:hAnsi="Arial" w:eastAsia="Arial" w:cs="Arial"/>
                <w:color w:val="000000" w:themeColor="text1"/>
                <w:lang w:val="en-US"/>
              </w:rPr>
              <w:t xml:space="preserve">Ciertos </w:t>
            </w:r>
            <w:r w:rsidRPr="51D9F959">
              <w:rPr>
                <w:rFonts w:ascii="Arial" w:hAnsi="Arial" w:eastAsia="Arial" w:cs="Arial"/>
                <w:color w:val="000000" w:themeColor="text1"/>
                <w:lang w:val="en-US"/>
              </w:rPr>
              <w:t xml:space="preserve">tipos e</w:t>
            </w:r>
            <w:r w:rsidRPr="51D9F959">
              <w:rPr>
                <w:rFonts w:ascii="Arial" w:hAnsi="Arial" w:eastAsia="Arial" w:cs="Arial"/>
                <w:color w:val="000000" w:themeColor="text1"/>
                <w:lang w:val="en-US"/>
              </w:rPr>
              <w:lastRenderedPageBreak/>
            </w:r>
            <w:r w:rsidRPr="51D9F959">
              <w:rPr>
                <w:rFonts w:ascii="Arial" w:hAnsi="Arial" w:eastAsia="Arial" w:cs="Arial"/>
                <w:color w:val="000000" w:themeColor="text1"/>
                <w:lang w:val="en-US"/>
              </w:rPr>
              <w:t xml:space="preserve"> es de actores de la sociedad civil pueden enfrentarse a limitaciones de elegibilidad o restricciones de recursos, pero estos retos pueden, en general, abordarse o superarse. La normativa fiscal ofrece exenciones e incentivos razonables para los donantes.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Totalmente propicio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color w:val="000000" w:themeColor="text1"/>
                <w:lang w:val="en-US"/>
              </w:rPr>
              <w:t xml:space="preserve">Hay financiación disponible y accesible. El Estado promueve activamente el acceso a diversas fuentes de financiación sin restricciones, proporcionando de forma proactiva información sobre las fuentes de financiación y garantizando procesos de presentación de informes transparentes y eficientes. Los bancos permiten a los actores de la sociedad civil abrir cuentas, recibir y acceder a la financiación, incluida la financiación internacional, con facilidad. Los actores de la sociedad civil, incluidos aquellos que trabajan en temas sensibles y con grupos marginados, tienen oportunidades de acceder a la financiación. La normativa exime a los actores de la sociedad civil del impuesto sobre la renta, con importantes incentivos para los donantes. </w:t>
            </w:r>
          </w:p>
        </w:tc>
      </w:tr>
    </w:tbl>
    <w:p w:rsidR="002F6506" w:rsidP="002F6506" w:rsidRDefault="002F6506">
      <w:pPr>
        <w:keepNext/>
        <w:keepLines/>
        <w:widowControl w:val="0"/>
        <w:rPr>
          <w:b/>
          <w:bCs/>
          <w:lang w:val="es-ES"/>
        </w:rPr>
      </w:pPr>
    </w:p>
    <w:p w:rsidR="002F6506" w:rsidP="002F6506" w:rsidRDefault="002F6506">
      <w:pPr>
        <w:keepNext/>
        <w:keepLines/>
        <w:widowControl w:val="0"/>
        <w:rPr>
          <w:rFonts w:ascii="Arial" w:hAnsi="Arial" w:eastAsia="Arial" w:cs="Arial"/>
          <w:b/>
          <w:bCs/>
        </w:rPr>
      </w:pPr>
      <w:r w:rsidRPr="3DD1B795">
        <w:rPr>
          <w:b/>
          <w:bCs/>
          <w:lang w:val="es-ES"/>
        </w:rPr>
        <w:t xml:space="preserve">3.2 | Eficacia de los recursos</w:t>
      </w:r>
    </w:p>
    <w:p w:rsidR="002F6506" w:rsidP="002F6506" w:rsidRDefault="002F6506">
      <w:pPr>
        <w:widowControl w:val="0"/>
        <w:spacing w:before="240"/>
        <w:rPr>
          <w:rFonts w:ascii="Arial" w:hAnsi="Arial" w:eastAsia="Arial" w:cs="Arial"/>
          <w:color w:val="000000" w:themeColor="text1"/>
        </w:rPr>
      </w:pPr>
      <w:r w:rsidRPr="582F23E0">
        <w:rPr>
          <w:rFonts w:ascii="Arial" w:hAnsi="Arial" w:eastAsia="Arial" w:cs="Arial"/>
          <w:color w:val="000000" w:themeColor="text1"/>
          <w:lang w:val="es-ES"/>
        </w:rPr>
        <w:t xml:space="preserve">Preguntas</w:t>
      </w:r>
      <w:r w:rsidRPr="582F23E0">
        <w:rPr>
          <w:rFonts w:ascii="Arial" w:hAnsi="Arial" w:eastAsia="Arial" w:cs="Arial"/>
          <w:b/>
          <w:bCs/>
          <w:color w:val="000000" w:themeColor="text1"/>
          <w:lang w:val="es-ES"/>
        </w:rPr>
        <w:t xml:space="preserve">: </w:t>
      </w:r>
    </w:p>
    <w:p w:rsidR="002F6506" w:rsidP="002F6506" w:rsidRDefault="002F6506">
      <w:pPr>
        <w:pStyle w:val="ListParagraph"/>
        <w:widowControl w:val="0"/>
        <w:numPr>
          <w:ilvl w:val="0"/>
          <w:numId w:val="17"/>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s-ES"/>
        </w:rPr>
        <w:t xml:space="preserve">¿Qué condiciones imponen los donantes a la financiación? ¿Están los gobiernos imponiendo restricciones sobre cómo se pueden utilizar los fondos y otros recursos?</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rPr>
      </w:pPr>
      <w:r w:rsidRPr="51D9F959">
        <w:rPr>
          <w:rFonts w:ascii="Arial" w:hAnsi="Arial" w:eastAsia="Arial" w:cs="Arial"/>
          <w:color w:val="000000" w:themeColor="text1"/>
          <w:lang w:val="en-US"/>
        </w:rPr>
        <w:t xml:space="preserve">¿Están las condiciones de financiación alineadas con los objetivos y prioridades de los actores de la sociedad civil, o están más orientadas a los donantes, lo que limita la autonomía de los actores de la sociedad civil? </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lang w:val="es-ES"/>
        </w:rPr>
      </w:pPr>
      <w:r w:rsidRPr="51D9F959">
        <w:rPr>
          <w:rFonts w:ascii="Arial" w:hAnsi="Arial" w:eastAsia="Arial" w:cs="Arial"/>
          <w:color w:val="000000" w:themeColor="text1"/>
          <w:lang w:val="en-US"/>
        </w:rPr>
        <w:t xml:space="preserve">¿Qué grado de flexibilidad muestran los donantes a la hora de adaptar su financiación para dar cabida a los cambios en el entorno operativo o la misión de las OSC, permitiendo que los programas evolucionen en función de las necesidades emergentes? </w:t>
      </w:r>
    </w:p>
    <w:p w:rsidR="002F6506" w:rsidP="002F6506" w:rsidRDefault="002F6506">
      <w:pPr>
        <w:pStyle w:val="ListParagraph"/>
        <w:widowControl w:val="0"/>
        <w:numPr>
          <w:ilvl w:val="0"/>
          <w:numId w:val="17"/>
        </w:numPr>
        <w:spacing w:after="200" w:line="279" w:lineRule="auto"/>
        <w:rPr>
          <w:rFonts w:ascii="Arial" w:hAnsi="Arial" w:eastAsia="Arial" w:cs="Arial"/>
          <w:color w:val="000000" w:themeColor="text1"/>
          <w:lang w:val="es-ES"/>
        </w:rPr>
      </w:pPr>
      <w:r w:rsidRPr="732BBE29">
        <w:rPr>
          <w:rFonts w:ascii="Arial" w:hAnsi="Arial" w:eastAsia="Arial" w:cs="Arial"/>
          <w:color w:val="000000" w:themeColor="text1"/>
          <w:lang w:val="en-US"/>
        </w:rPr>
        <w:t xml:space="preserve">¿En qué medida responden los donantes a las preocupaciones de seguridad de las OSC y a la mitigación de los posibles daños derivados de los programas que financian?</w:t>
      </w:r>
    </w:p>
    <w:p w:rsidR="002F6506" w:rsidP="002F6506" w:rsidRDefault="002F6506">
      <w:pPr>
        <w:widowControl w:val="0"/>
        <w:spacing w:after="200" w:line="288" w:lineRule="auto"/>
        <w:rPr>
          <w:rFonts w:ascii="Arial" w:hAnsi="Arial" w:eastAsia="Arial" w:cs="Arial"/>
          <w:color w:val="000000" w:themeColor="text1"/>
        </w:rPr>
      </w:pPr>
      <w:r w:rsidRPr="732BBE29">
        <w:rPr>
          <w:rFonts w:ascii="Arial" w:hAnsi="Arial" w:eastAsia="Arial" w:cs="Arial"/>
          <w:b/>
          <w:bCs/>
          <w:lang w:val="en-GB"/>
        </w:rPr>
        <w:t xml:space="preserve">Puntuación de las viñetas: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Totalmente limitante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lang w:val="en-US"/>
              </w:rPr>
              <w:t xml:space="preserve">Los donantes imponen condiciones muy restrictivas, lo que limita gravemente la independencia de los actores de la sociedad civil. Las relaciones con los donantes y los pares carecen de confianza o colaboración. Los donantes interfieren en la gobernanza interna de los actores de la sociedad civil. Los requisitos de presentación de informes y cumplimiento son excesivos, incoherentes y onerosos, lo que obstaculiza la capacidad de los actores de la sociedad civil </w:t>
            </w:r>
            <w:r w:rsidRPr="51D9F959">
              <w:rPr>
                <w:rFonts w:ascii="Arial" w:hAnsi="Arial" w:eastAsia="Arial" w:cs="Arial"/>
                <w:color w:val="000000" w:themeColor="text1"/>
                <w:lang w:val="es-ES"/>
              </w:rPr>
              <w:t xml:space="preserve">para cumplir sus misiones</w:t>
            </w:r>
            <w:r w:rsidRPr="51D9F959">
              <w:rPr>
                <w:rFonts w:ascii="Arial" w:hAnsi="Arial" w:eastAsia="Arial" w:cs="Arial"/>
                <w:lang w:val="en-US"/>
              </w:rPr>
              <w:t xml:space="preserve">. Las condiciones de los donantes y los requisitos de presentación de informes agravan los riesgos de seguridad para los actores de la sociedad civil.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Los donantes imponen condiciones significativas que restringen la flexibilidad y la autonomía de los actores de la sociedad civil, a menudo sin tener en cuenta las necesidades locales. Las relaciones con los donantes y los pares son en gran medida jerárquicas, lo que deja poco margen para las aportaciones de los actores de la sociedad civil. Los donantes interfieren ocasionalmente en la gobernanza interna. Las condiciones de los donantes y los procesos de presentación de informes no tienen en cuenta los riesgos de seguridad a los que se enfrentan los actores de la sociedad civil.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Facilitador parcial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n-US"/>
              </w:rPr>
              <w:t xml:space="preserve">Los donantes imponen condiciones razonables que, en general, se ajustan a los objetivos y prioridades de los actores de la sociedad civil. Las relaciones con los donantes y los pares son colaborativas, con cierto grado de toma de decisiones compartida. Los donantes</w:t>
            </w:r>
            <w:r w:rsidRPr="51D9F959">
              <w:rPr>
                <w:rFonts w:ascii="Arial" w:hAnsi="Arial" w:eastAsia="Arial" w:cs="Arial"/>
                <w:lang w:val="en-US"/>
              </w:rPr>
              <w:lastRenderedPageBreak/>
            </w:r>
            <w:r w:rsidRPr="51D9F959">
              <w:rPr>
                <w:rFonts w:ascii="Arial" w:hAnsi="Arial" w:eastAsia="Arial" w:cs="Arial"/>
                <w:lang w:val="en-US"/>
              </w:rPr>
              <w:t xml:space="preserve"> respetan la autonomía de los actores de la sociedad civil en materia de gobernanza. Los requisitos de presentación de informes son en ocasiones rígidos, con algunas ineficiencias. Los donantes reconocen el daño potencial que pueden causar las condiciones y los requisitos de presentación de informes y adoptan medidas de mitigación.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s-ES"/>
              </w:rPr>
              <w:t xml:space="preserve">Los donantes establecen condiciones flexibles y razonables que se ajustan a las necesidades y prioridades de los actores de la sociedad civil. Las relaciones se basan en la confianza, con margen para la negociación y la toma de decisiones compartida. Los donantes respetan y promueven activamente la autonomía de los actores de la sociedad civil en materia de gobernanza. Los requisitos de presentación de informes están simplificados. Los donantes responden a las necesidades de seguridad de los actores de la sociedad civil y adoptan medidas proactivas para mitigar los riesgos.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1D9F959">
              <w:rPr>
                <w:rFonts w:ascii="Arial" w:hAnsi="Arial" w:eastAsia="Arial" w:cs="Arial"/>
                <w:b/>
                <w:bCs/>
                <w:lang w:val="es-ES"/>
              </w:rPr>
              <w:t xml:space="preserve">Totalmente propicio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lang w:val="es-ES"/>
              </w:rPr>
            </w:pPr>
            <w:r w:rsidRPr="51D9F959">
              <w:rPr>
                <w:rFonts w:ascii="Arial" w:hAnsi="Arial" w:eastAsia="Arial" w:cs="Arial"/>
                <w:lang w:val="es-ES"/>
              </w:rPr>
              <w:t xml:space="preserve">Los donantes apoyan activamente la independencia de los actores de la sociedad civil mediante una financiación flexible y sin restricciones. Las relaciones se basan, en la mayoría de los casos, en el respeto mutuo y en la definición conjunta de las prioridades de financiación. Los donantes promueven activamente la autonomía de los actores de la sociedad civil en materia de gobernanza. Los requisitos de presentación de informes son mínimos, transparentes y eficientes, lo que permite a los actores de la sociedad civil centrarse en sus misiones. Los donantes ofrecen espacios específicos para que los actores de la sociedad civil planteen sus preocupaciones en materia de seguridad y elaboren conjuntamente soluciones flexibles para prevenir daños y mejorar la resiliencia.</w:t>
            </w:r>
          </w:p>
        </w:tc>
      </w:tr>
    </w:tbl>
    <w:p w:rsidR="002F6506" w:rsidP="002F6506" w:rsidRDefault="002F6506">
      <w:pPr>
        <w:keepNext/>
        <w:keepLines/>
        <w:widowControl w:val="0"/>
        <w:rPr>
          <w:rFonts w:ascii="Arial" w:hAnsi="Arial" w:eastAsia="Arial" w:cs="Arial"/>
          <w:lang w:val="es-ES"/>
        </w:rPr>
      </w:pPr>
    </w:p>
    <w:p w:rsidR="002F6506" w:rsidP="002F6506" w:rsidRDefault="002F6506">
      <w:pPr>
        <w:keepNext/>
        <w:keepLines/>
        <w:widowControl w:val="0"/>
        <w:rPr>
          <w:rFonts w:ascii="Arial" w:hAnsi="Arial" w:eastAsia="Arial" w:cs="Arial"/>
          <w:b/>
          <w:bCs/>
        </w:rPr>
      </w:pPr>
      <w:r w:rsidRPr="732BBE29">
        <w:rPr>
          <w:rFonts w:ascii="Arial" w:hAnsi="Arial" w:eastAsia="Arial" w:cs="Arial"/>
          <w:b/>
          <w:bCs/>
          <w:lang w:val="es-ES"/>
        </w:rPr>
        <w:t xml:space="preserve">3.3 | Sostenibilidad de los recursos</w:t>
      </w:r>
    </w:p>
    <w:p w:rsidR="002F6506" w:rsidP="002F6506" w:rsidRDefault="002F6506">
      <w:pPr>
        <w:widowControl w:val="0"/>
        <w:spacing w:before="240"/>
        <w:rPr>
          <w:rFonts w:ascii="Arial" w:hAnsi="Arial" w:eastAsia="Arial" w:cs="Arial"/>
          <w:color w:val="000000" w:themeColor="text1"/>
        </w:rPr>
      </w:pPr>
      <w:r w:rsidRPr="732BBE29">
        <w:rPr>
          <w:rFonts w:ascii="Arial" w:hAnsi="Arial" w:eastAsia="Arial" w:cs="Arial"/>
          <w:color w:val="000000" w:themeColor="text1"/>
          <w:lang w:val="es-ES"/>
        </w:rPr>
        <w:t xml:space="preserve">Preguntas: </w:t>
      </w:r>
    </w:p>
    <w:p w:rsidR="002F6506" w:rsidP="002F6506" w:rsidRDefault="002F6506">
      <w:pPr>
        <w:pStyle w:val="ListParagraph"/>
        <w:widowControl w:val="0"/>
        <w:numPr>
          <w:ilvl w:val="0"/>
          <w:numId w:val="16"/>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¿En qué medida tienen los actores de la sociedad civil acceso a un conjunto diverso y fiable de fuentes de financiación? ¿Qué retos surgen en caso de que dependan de una única fuente de financiación o de una fuente impredecible?</w:t>
      </w:r>
    </w:p>
    <w:p w:rsidR="002F6506" w:rsidP="002F6506" w:rsidRDefault="002F6506">
      <w:pPr>
        <w:pStyle w:val="ListParagraph"/>
        <w:widowControl w:val="0"/>
        <w:numPr>
          <w:ilvl w:val="0"/>
          <w:numId w:val="16"/>
        </w:numPr>
        <w:spacing w:after="200"/>
        <w:rPr>
          <w:rFonts w:ascii="Arial" w:hAnsi="Arial" w:eastAsia="Arial" w:cs="Arial"/>
          <w:color w:val="000000" w:themeColor="text1"/>
          <w:lang w:val="es-ES"/>
        </w:rPr>
      </w:pPr>
      <w:r w:rsidRPr="51D9F959">
        <w:rPr>
          <w:rFonts w:ascii="Arial" w:hAnsi="Arial" w:eastAsia="Arial" w:cs="Arial"/>
          <w:color w:val="000000" w:themeColor="text1"/>
          <w:lang w:val="en-US"/>
        </w:rPr>
        <w:t xml:space="preserve">¿Existen lagunas en los ciclos de financiación y cómo afectan a la capacidad de los actores de la sociedad civil para mantener sus operaciones sin retrasos ni interrupciones? ¿Cómo influyen las estructuras de financiación actuales en las condiciones del personal, la continuidad de los programas y la sostenibilidad a largo plazo?</w:t>
      </w:r>
    </w:p>
    <w:p w:rsidR="002F6506" w:rsidP="002F6506" w:rsidRDefault="002F6506">
      <w:pPr>
        <w:pStyle w:val="ListParagraph"/>
        <w:widowControl w:val="0"/>
        <w:numPr>
          <w:ilvl w:val="0"/>
          <w:numId w:val="16"/>
        </w:numPr>
        <w:spacing w:before="240" w:after="200"/>
        <w:rPr>
          <w:rFonts w:ascii="Arial" w:hAnsi="Arial" w:eastAsia="Arial" w:cs="Arial"/>
          <w:color w:val="000000" w:themeColor="text1"/>
          <w:lang w:val="es-ES"/>
        </w:rPr>
      </w:pPr>
      <w:r w:rsidRPr="51D9F959">
        <w:rPr>
          <w:rFonts w:ascii="Arial" w:hAnsi="Arial" w:eastAsia="Arial" w:cs="Arial"/>
          <w:color w:val="000000" w:themeColor="text1"/>
          <w:lang w:val="es-ES"/>
        </w:rPr>
        <w:t xml:space="preserve">¿Cómo afecta el entorno de recursos a la capacidad de los actores de la sociedad civil para alcanzar los objetivos programáticos a largo plazo y participar en la planificación estratégica? </w:t>
      </w:r>
      <w:r w:rsidRPr="51D9F959">
        <w:rPr>
          <w:rFonts w:ascii="Arial" w:hAnsi="Arial" w:eastAsia="Arial" w:cs="Arial"/>
          <w:color w:val="000000" w:themeColor="text1"/>
          <w:lang w:val="en-US"/>
        </w:rPr>
        <w:t xml:space="preserve">¿En qué medida la financiación es específica para proyectos frente a la financiación básica, y cómo afecta esto a la sostenibilidad de la organización?</w:t>
      </w:r>
    </w:p>
    <w:p w:rsidR="002F6506" w:rsidP="002F6506" w:rsidRDefault="002F6506">
      <w:pPr>
        <w:pStyle w:val="ListParagraph"/>
        <w:numPr>
          <w:ilvl w:val="0"/>
          <w:numId w:val="15"/>
        </w:numPr>
        <w:spacing w:before="240" w:after="240"/>
        <w:rPr>
          <w:rFonts w:ascii="Arial" w:hAnsi="Arial" w:eastAsia="Arial" w:cs="Arial"/>
          <w:color w:val="000000" w:themeColor="text1"/>
          <w:lang w:val="es-ES"/>
        </w:rPr>
      </w:pPr>
      <w:r w:rsidRPr="732BBE29">
        <w:rPr>
          <w:rFonts w:ascii="Arial" w:hAnsi="Arial" w:eastAsia="Arial" w:cs="Arial"/>
          <w:color w:val="000000" w:themeColor="text1"/>
          <w:lang w:val="en-US"/>
        </w:rPr>
        <w:t xml:space="preserve">¿En qué medida son capaces los actores de la sociedad civil de desarrollar su autosuficiencia, por ejemplo, recaudar sus propios fondos, recibir apoyo en forma de donaciones y voluntarios, o llevar a cabo actividades generadoras de ingresos?</w:t>
      </w:r>
    </w:p>
    <w:p w:rsidR="002F6506" w:rsidP="002F6506" w:rsidRDefault="002F6506">
      <w:pPr>
        <w:widowControl w:val="0"/>
        <w:spacing w:after="200" w:line="288" w:lineRule="auto"/>
        <w:rPr>
          <w:rFonts w:ascii="Arial" w:hAnsi="Arial" w:eastAsia="Arial" w:cs="Arial"/>
          <w:b/>
          <w:bCs/>
        </w:rPr>
      </w:pPr>
      <w:r w:rsidRPr="732BBE29">
        <w:rPr>
          <w:rFonts w:ascii="Arial" w:hAnsi="Arial" w:eastAsia="Arial" w:cs="Arial"/>
          <w:b/>
          <w:bCs/>
          <w:lang w:val="en-GB"/>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limitante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La financiación es impredecible, esporádica o depende de una única fuente. Los actores de la sociedad civil tienen dificultades para mantener sus operaciones, no pueden retener al personal y carecen de estabilidad. Los ciclos de financiación causan importantes trastornos y no hay apoyo para la planificación a largo plazo. Los esfuerzos de autosuficiencia, como la recaudación de fondos o el apoyo de voluntarios, son prácticamente inexistentes.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La financiación es insuficiente y se distribuye de forma irregular en el tiempo. Los actores de la sociedad civil tienen dificultades para mantener las operaciones, obtener resultados programáticos y retener al personal. La planificación a largo plazo y la sostenibilidad de los programas se ven gravemente obstaculizadas. Las oportunidades de autosuficiencia, como las donaciones o el voluntariado, son muy limitadas.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Parcialmente propicio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rPr>
            </w:pPr>
            <w:r w:rsidRPr="51D9F959">
              <w:rPr>
                <w:rFonts w:ascii="Arial" w:hAnsi="Arial" w:eastAsia="Arial" w:cs="Arial"/>
                <w:lang w:val="en-US"/>
              </w:rPr>
              <w:t xml:space="preserve">La financiación no está garantizada a largo plazo o, a menudo, solo se basa en proyectos. Los actores de la sociedad civil pueden operar y obtener resultados, pero ampliar o mantener las iniciativas a lo largo del tiempo sigue siendo un reto. Existen iniciativas de autosuficiencia, pero no son suficientes para la estabilidad financiera.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s-ES"/>
              </w:rPr>
            </w:pPr>
            <w:r w:rsidRPr="51D9F959">
              <w:rPr>
                <w:rFonts w:ascii="Arial" w:hAnsi="Arial" w:eastAsia="Arial" w:cs="Arial"/>
                <w:lang w:val="en-US"/>
              </w:rPr>
              <w:t xml:space="preserve">La financiación es estable y diversificada. Se dispone de cierta financiación básica, lo que permite la planificación a largo plazo y la retención del personal. Los actores de la sociedad civil pueden complementar la financiación mediante donaciones, voluntarios o actividades generadoras de ingresos.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propicio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s-ES"/>
              </w:rPr>
            </w:pPr>
            <w:r w:rsidRPr="51D9F959">
              <w:rPr>
                <w:rFonts w:ascii="Arial" w:hAnsi="Arial" w:eastAsia="Arial" w:cs="Arial"/>
                <w:lang w:val="en-US"/>
              </w:rPr>
              <w:t xml:space="preserve">La financiación es predecible, diversa y a largo plazo. Los actores de la sociedad civil mantienen la estabilidad operativa, amplían sus actividades de manera eficaz y logran un impacto sostenible. Los sólidos mecanismos de autosuficiencia, como la recaudación de fondos y las redes de voluntarios, contribuyen a la resiliencia financiera.</w:t>
            </w:r>
          </w:p>
        </w:tc>
      </w:tr>
    </w:tbl>
    <w:p w:rsidR="002F6506" w:rsidP="002F6506" w:rsidRDefault="002F6506">
      <w:pPr>
        <w:rPr>
          <w:rFonts w:ascii="Arial" w:hAnsi="Arial" w:eastAsia="Arial" w:cs="Arial"/>
          <w:color w:val="000000" w:themeColor="text1"/>
        </w:rPr>
      </w:pPr>
    </w:p>
    <w:p w:rsidR="002F6506" w:rsidP="002F6506" w:rsidRDefault="002F6506">
      <w:pPr>
        <w:spacing w:after="200" w:line="288" w:lineRule="auto"/>
        <w:rPr>
          <w:rFonts w:ascii="Arial" w:hAnsi="Arial" w:eastAsia="Arial" w:cs="Arial"/>
          <w:color w:val="2E74B5" w:themeColor="accent1" w:themeShade="BF"/>
        </w:rPr>
      </w:pPr>
      <w:r w:rsidRPr="2C5C2622">
        <w:rPr>
          <w:rFonts w:ascii="Arial" w:hAnsi="Arial" w:eastAsia="Arial" w:cs="Arial"/>
          <w:b/>
          <w:bCs/>
          <w:color w:val="2E74B5" w:themeColor="accent1" w:themeShade="BF"/>
          <w:lang w:val="en-GB"/>
        </w:rPr>
        <w:t xml:space="preserve">Preguntas orientativas para el Principio 4: </w:t>
      </w:r>
      <w:r w:rsidRPr="2C5C2622">
        <w:rPr>
          <w:rFonts w:ascii="Arial" w:hAnsi="Arial" w:eastAsia="Arial" w:cs="Arial"/>
          <w:color w:val="2E74B5" w:themeColor="accent1" w:themeShade="BF"/>
          <w:lang w:val="en-GB"/>
        </w:rPr>
        <w:t xml:space="preserve">Estado abierto y receptivo</w:t>
      </w: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4.1 | Transparencia</w:t>
      </w:r>
    </w:p>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rPr>
      </w:pPr>
      <w:r w:rsidRPr="2C5C2622">
        <w:rPr>
          <w:rFonts w:ascii="Arial" w:hAnsi="Arial" w:eastAsia="Arial" w:cs="Arial"/>
          <w:lang w:val="en-GB"/>
        </w:rPr>
        <w:t xml:space="preserve">Preguntas:</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¿Reconoce el marco jurídico a nivel nacional, provincial y local el derecho de todas las personas y organizaciones a acceder a la información en poder de instituciones públicas o entidades privadas que desempeñan funciones públicas? ¿Se publica esta información de forma proactiva, oportuna y accesible en plataformas digitales y en línea?</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¿Están las instituciones públicas legalmente obligadas a publicar información exhaustiva sobre la toma de decisiones, como proyectos de ley, políticas, presupuestos e informes de auditoría, de manera oportuna y en formatos accesibles?</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¿Existen procedimientos claros, sencillos y accesibles para presentar solicitudes de acceso a la información, que incluyan tasas razonables o exenciones para los grupos vulnerables, y se tramitan las solicitudes de manera sistemática dentro de los plazos legales?</w:t>
      </w:r>
    </w:p>
    <w:p w:rsidR="002F6506" w:rsidP="002F6506" w:rsidRDefault="002F6506">
      <w:pPr>
        <w:pStyle w:val="ListParagraph"/>
        <w:numPr>
          <w:ilvl w:val="0"/>
          <w:numId w:val="8"/>
        </w:numPr>
        <w:spacing w:before="240" w:after="240" w:line="240" w:lineRule="auto"/>
        <w:rPr>
          <w:rFonts w:ascii="Arial" w:hAnsi="Arial" w:eastAsia="Arial" w:cs="Arial"/>
        </w:rPr>
      </w:pPr>
      <w:r w:rsidRPr="2C5C2622">
        <w:rPr>
          <w:rFonts w:ascii="Arial" w:hAnsi="Arial" w:eastAsia="Arial" w:cs="Arial"/>
        </w:rPr>
        <w:t xml:space="preserve">¿Existen protecciones legales contra la denegación injustificada del acceso a la información, incluyendo justificaciones claras para las restricciones, mecanismos de recurso y sanciones por incumplimiento?</w:t>
      </w:r>
    </w:p>
    <w:p w:rsidR="002F6506" w:rsidP="002F6506" w:rsidRDefault="002F6506">
      <w:pPr>
        <w:spacing w:after="0" w:line="240" w:lineRule="auto"/>
        <w:rPr>
          <w:rFonts w:ascii="Arial" w:hAnsi="Arial" w:eastAsia="Arial" w:cs="Arial"/>
          <w:b/>
          <w:bCs/>
        </w:rPr>
      </w:pPr>
    </w:p>
    <w:p w:rsidR="002F6506" w:rsidP="002F6506" w:rsidRDefault="002F6506">
      <w:pPr>
        <w:spacing w:after="200" w:line="288" w:lineRule="auto"/>
        <w:rPr>
          <w:rFonts w:ascii="Arial" w:hAnsi="Arial" w:eastAsia="Arial" w:cs="Arial"/>
          <w:b/>
          <w:bCs/>
        </w:rPr>
      </w:pPr>
      <w:r w:rsidRPr="2C5C2622">
        <w:rPr>
          <w:rFonts w:ascii="Arial" w:hAnsi="Arial" w:eastAsia="Arial" w:cs="Arial"/>
          <w:b/>
          <w:bCs/>
          <w:lang w:val="en-GB"/>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Totalmente restrictivo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No existen requisitos legales para que las instituciones públicas publiquen información relacionada con su proceso de toma de decisiones o estos no se aplican.</w:t>
            </w:r>
            <w:r w:rsidRPr="2C5C2622">
              <w:rPr>
                <w:rFonts w:ascii="Arial" w:hAnsi="Arial" w:eastAsia="Arial" w:cs="Arial"/>
                <w:lang w:val="en-US"/>
              </w:rPr>
              <w:lastRenderedPageBreak/>
            </w:r>
            <w:r w:rsidRPr="2C5C2622">
              <w:rPr>
                <w:rFonts w:ascii="Arial" w:hAnsi="Arial" w:eastAsia="Arial" w:cs="Arial"/>
                <w:lang w:val="en-US"/>
              </w:rPr>
              <w:t xml:space="preserve"> La información pública no se publica de manera oportuna ni es fácilmente accesible. No se reconoce el derecho de acceso a la información. No existen procedimientos para presentar solicitudes de acceso a la información, o las solicitudes son ignoradas.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lastRenderedPageBreak/>
            </w:r>
            <w:r w:rsidRPr="2C5C2622">
              <w:rPr>
                <w:rFonts w:ascii="Arial" w:hAnsi="Arial" w:eastAsia="Arial" w:cs="Arial"/>
                <w:b/>
                <w:bCs/>
                <w:color w:val="000000" w:themeColor="text1"/>
                <w:lang w:val="en"/>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El marco jurídico reconoce un derecho limitado al acceso a la información, pero con graves limitaciones en cuanto al ámbito de personas u organizaciones que pueden acceder a la información, los tipos de instituciones que deben facilitarla y los procedimientos para acceder a ella. Los procedimientos para presentar solicitudes de acceso a la información no son claros o son inaccesibles.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Parcialmente habilitante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Existen requisitos legales para la publicación de información pública, pero su aplicación es inconsistente. Parte de la información está disponible, pero no siempre de forma oportuna, en línea o en varios idiomas. Existen procedimientos de acceso a la información, pero son complejos y se producen retrasos o respuestas incompletas. Las justificaciones de las restricciones no siempre son transparentes.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La información pública suele estar disponible de manera oportuna, incluso a nivel local. El marco jurídico reconoce el derecho de acceso a la información y los procedimientos de solicitud de acceso a la información son claros. Persisten algunas inconsistencias en cuanto a la accesibilidad. Las solicitudes de acceso a la información a veces se retrasan o se deniegan, especialmente en el caso de los grupos marginados.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Totalmente habilitante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Los requisitos legales garantizan la publicación exhaustiva y oportuna de la información pública en formatos accesibles. El derecho de acceso a la información está plenamente reconocido a todos los niveles (local/nacional). Las solicitudes de acceso a la información se tramitan de manera eficiente, con mecanismos de recurso claros y sanciones por incumplimiento. Las instituciones públicas tramitan sistemáticamente las solicitudes de acceso a la información dentro de los plazos legales, proporcionando información completa, precisa y pertinente. Existen procedimientos claros y sencillos sobre cómo acceder a la información y presentar recursos contra las denegaciones.</w:t>
            </w:r>
          </w:p>
        </w:tc>
      </w:tr>
    </w:tbl>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4.2 | Participación</w:t>
      </w:r>
    </w:p>
    <w:p w:rsidR="002F6506" w:rsidP="002F6506" w:rsidRDefault="002F6506">
      <w:pPr>
        <w:spacing w:after="0" w:line="240" w:lineRule="auto"/>
        <w:rPr>
          <w:rFonts w:ascii="Arial" w:hAnsi="Arial" w:eastAsia="Arial" w:cs="Arial"/>
        </w:rPr>
      </w:pPr>
    </w:p>
    <w:p w:rsidR="002F6506" w:rsidP="002F6506" w:rsidRDefault="002F6506">
      <w:pPr>
        <w:spacing w:after="0" w:line="240" w:lineRule="auto"/>
        <w:rPr>
          <w:rFonts w:ascii="Arial" w:hAnsi="Arial" w:eastAsia="Arial" w:cs="Arial"/>
        </w:rPr>
      </w:pPr>
      <w:r w:rsidRPr="2C5C2622">
        <w:rPr>
          <w:rFonts w:ascii="Arial" w:hAnsi="Arial" w:eastAsia="Arial" w:cs="Arial"/>
          <w:lang w:val="en-GB"/>
        </w:rPr>
        <w:t xml:space="preserve">Preguntas:</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¿En qué medida los responsables políticos y los líderes políticos consultan a los actores de la sociedad civil sobre las políticas y decisiones relevantes para sus áreas de especialización y sus grupos de interés? ¿Se brinda a los actores de la sociedad civil la oportunidad de influir de manera significativa en la toma de decisiones, o solo se les consulta como una mera formalidad?</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¿Pueden los actores de la sociedad civil participar en las consultas sin discriminación, ya sea por el tipo de actor de la sociedad civil o por sus posiciones respecto al gobierno?</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¿Se invita a los actores de la sociedad civil a contribuir al proceso de toma de decisiones en las primeras etapas y se les concede tiempo suficiente para aportar sus opiniones? ¿Se asigna tiempo suficiente para que los actores de la sociedad civil puedan aportar comentarios significativos, o se trata su participación como un ejercicio de última hora?</w:t>
      </w:r>
    </w:p>
    <w:p w:rsidR="002F6506" w:rsidP="002F6506" w:rsidRDefault="002F6506">
      <w:pPr>
        <w:pStyle w:val="ListParagraph"/>
        <w:numPr>
          <w:ilvl w:val="0"/>
          <w:numId w:val="7"/>
        </w:numPr>
        <w:spacing w:before="240" w:after="240" w:line="240" w:lineRule="auto"/>
        <w:rPr>
          <w:rFonts w:ascii="Arial" w:hAnsi="Arial" w:eastAsia="Arial" w:cs="Arial"/>
        </w:rPr>
      </w:pPr>
      <w:r w:rsidRPr="2C5C2622">
        <w:rPr>
          <w:rFonts w:ascii="Arial" w:hAnsi="Arial" w:eastAsia="Arial" w:cs="Arial"/>
        </w:rPr>
        <w:t xml:space="preserve">¿Qué tipos de oportunidades de participación hay disponibles (en línea, en persona o ambas), y son estas opciones accesibles y eficaces para los actores de la sociedad civil?</w:t>
      </w:r>
    </w:p>
    <w:p w:rsidR="002F6506" w:rsidP="002F6506" w:rsidRDefault="002F6506">
      <w:pPr>
        <w:spacing w:before="240" w:after="240" w:line="240" w:lineRule="auto"/>
        <w:rPr>
          <w:rFonts w:ascii="Arial" w:hAnsi="Arial" w:eastAsia="Arial" w:cs="Arial"/>
          <w:b/>
          <w:bCs/>
        </w:rPr>
      </w:pPr>
      <w:r w:rsidRPr="2C5C2622">
        <w:rPr>
          <w:rFonts w:ascii="Arial" w:hAnsi="Arial" w:eastAsia="Arial" w:cs="Arial"/>
          <w:b/>
          <w:bCs/>
          <w:lang w:val="en-GB"/>
        </w:rPr>
        <w:t xml:space="preserve">Vignetas de puntuación: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lastRenderedPageBreak/>
            </w:r>
            <w:r w:rsidRPr="2C5C2622">
              <w:rPr>
                <w:rFonts w:ascii="Arial" w:hAnsi="Arial" w:eastAsia="Arial" w:cs="Arial"/>
                <w:b/>
                <w:bCs/>
                <w:color w:val="000000" w:themeColor="text1"/>
                <w:lang w:val="en"/>
              </w:rPr>
              <w:t xml:space="preserve">Totalmente inhabilitante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Los actores de la sociedad civil no tienen oportunidad de participar en los procesos de toma de decisiones. Se les excluye de las consultas y no se tienen en cuenta sus aportaciones. Incluso si se les permite participar, los actores de la sociedad civil se enfrentan a graves restricciones a la hora de expresar libremente sus opiniones o influir en las decisiones.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Los actores de la sociedad civil rara vez participan en los procesos de toma de decisiones relevantes para sus miembros. Los responsables políticos los consultan de forma infrecuente e irregular en los procesos de toma de decisiones. Las consultas son muy selectivas y excluyentes, y los actores de la sociedad civil se enfrentan a una discriminación significativa basada en su tipo o en sus posiciones respecto al gobierno, quedando muchos de ellos excluidos de las consultas. Las consultas se producen en el último momento, con poco o ningún tiempo para aportar comentarios.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Habilitación parcial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A veces se consulta a los actores de la sociedad civil, pero solo de forma limitada, y su participación suele ser selectiva. Siguen existiendo algunas formas de discriminación en función de su tipo o su postura hacia el Gobierno, lo que conduce a la exclusión de determinados actores de la sociedad civil. Aunque se puede invitar a los actores de la sociedad civil a contribuir, no se les concede tiempo suficiente para aportar comentarios exhaustivos. La participación puede ser superficial.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Los agentes de la sociedad civil suelen participar en los procesos de toma de decisiones y pueden hacerlo con un nivel razonable de inclusión y equidad. Se están realizando esfuerzos para involucrar a una amplia gama de agentes de la sociedad civil, y la mayoría de ellos pueden aportar su contribución sin sufrir una discriminación significativa. Sin embargo, en ocasiones existen limitaciones de tiempo para enviar comentarios o de espacio para realizar aportaciones significativas. Los agentes de la sociedad civil pueden participar en las primeras fases del proceso, pero sus contribuciones pueden seguir siendo limitadas, y la forma de participación puede variar (por ejemplo, algunos espacios en línea pueden limitar la participación).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Totalmente habilitante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Los actores de la sociedad civil participan de forma regular y abierta en la toma de decisiones, con mecanismos sólidos para garantizar que se tengan en cuenta sus diversas perspectivas. Existen esfuerzos exhaustivos para incluir a todo tipo de actores de la sociedad civil, y la participación está libre de discriminación o intimidación. Se invita a los actores de la sociedad civil a contribuir en las primeras etapas y se les concede tiempo suficiente para aportar ideas significativas. Tanto la participación en línea como la presencial son accesibles y ofrecen oportunidades efectivas de participación, garantizando que ningún grupo quede marginado.</w:t>
            </w:r>
          </w:p>
        </w:tc>
      </w:tr>
    </w:tbl>
    <w:p w:rsidR="002F6506" w:rsidP="002F6506" w:rsidRDefault="002F6506">
      <w:pPr>
        <w:spacing w:after="0" w:line="240" w:lineRule="auto"/>
        <w:rPr>
          <w:rFonts w:ascii="Arial" w:hAnsi="Arial" w:eastAsia="Arial" w:cs="Arial"/>
          <w:b/>
          <w:bCs/>
        </w:rPr>
      </w:pPr>
    </w:p>
    <w:p w:rsidR="002F6506" w:rsidP="002F6506" w:rsidRDefault="002F6506">
      <w:pPr>
        <w:spacing w:after="0" w:line="240" w:lineRule="auto"/>
        <w:rPr>
          <w:rFonts w:ascii="Arial" w:hAnsi="Arial" w:eastAsia="Arial" w:cs="Arial"/>
          <w:b/>
          <w:bCs/>
        </w:rPr>
      </w:pPr>
      <w:r w:rsidRPr="2C5C2622">
        <w:rPr>
          <w:rFonts w:ascii="Arial" w:hAnsi="Arial" w:eastAsia="Arial" w:cs="Arial"/>
          <w:b/>
          <w:bCs/>
          <w:lang w:val="en-GB"/>
        </w:rPr>
        <w:t xml:space="preserve">4.3 | Rendición de cuentas</w:t>
      </w:r>
    </w:p>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200" w:line="288" w:lineRule="auto"/>
        <w:rPr>
          <w:rFonts w:ascii="Arial" w:hAnsi="Arial" w:eastAsia="Arial" w:cs="Arial"/>
        </w:rPr>
      </w:pPr>
      <w:r w:rsidRPr="2C5C2622">
        <w:rPr>
          <w:rFonts w:ascii="Arial" w:hAnsi="Arial" w:eastAsia="Arial" w:cs="Arial"/>
          <w:lang w:val="en-GB"/>
        </w:rPr>
        <w:t xml:space="preserve">Preguntas:</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¿En qué medida proporciona el gobierno información detallada a los actores de la sociedad civil sobre cómo se han utilizado sus aportaciones en los procesos de toma de decisiones? ¿Existe documentación pública o informes sobre los resultados de las consultas con los actores de la sociedad civil que expliquen los motivos del gobierno para adoptar o descartar las aportaciones de dichos actores?</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lastRenderedPageBreak/>
      </w:r>
      <w:r w:rsidRPr="2C5C2622">
        <w:rPr>
          <w:rFonts w:ascii="Arial" w:hAnsi="Arial" w:eastAsia="Arial" w:cs="Arial"/>
        </w:rPr>
        <w:t xml:space="preserve">Si el gobierno no adopta ni tiene en cuenta la información proporcionada por los actores de la sociedad civil, ¿existe una explicación clara de los motivos de esta decisión? ¿Existen vías para que los actores de la sociedad civil exijan al gobierno que rinda cuentas sobre su información?</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¿Ofrece el gobierno espacios claros para que los actores de la sociedad civil hagan un seguimiento del uso de sus aportaciones y exijan al gobierno que rinda cuentas sobre cómo se integra (o no) la información recibida en las políticas y decisiones?</w:t>
      </w:r>
    </w:p>
    <w:p w:rsidR="002F6506" w:rsidP="002F6506" w:rsidRDefault="002F6506">
      <w:pPr>
        <w:pStyle w:val="ListParagraph"/>
        <w:numPr>
          <w:ilvl w:val="0"/>
          <w:numId w:val="6"/>
        </w:numPr>
        <w:spacing w:before="240" w:after="240"/>
        <w:rPr>
          <w:rFonts w:ascii="Arial" w:hAnsi="Arial" w:eastAsia="Arial" w:cs="Arial"/>
        </w:rPr>
      </w:pPr>
      <w:r w:rsidRPr="2C5C2622">
        <w:rPr>
          <w:rFonts w:ascii="Arial" w:hAnsi="Arial" w:eastAsia="Arial" w:cs="Arial"/>
        </w:rPr>
        <w:t xml:space="preserve">¿Existe un proceso o un espacio en el que los actores de la sociedad civil puedan supervisar e informar sobre el cumplimiento por parte del gobierno de sus compromisos y sobre cómo se tienen en cuenta sus aportaciones en el proceso de toma de decisiones?</w:t>
      </w:r>
    </w:p>
    <w:p w:rsidR="002F6506" w:rsidP="002F6506" w:rsidRDefault="002F6506">
      <w:pPr>
        <w:spacing w:after="200" w:line="288" w:lineRule="auto"/>
        <w:rPr>
          <w:rFonts w:ascii="Arial" w:hAnsi="Arial" w:eastAsia="Arial" w:cs="Arial"/>
          <w:b/>
          <w:bCs/>
        </w:rPr>
      </w:pPr>
      <w:r w:rsidRPr="2C5C2622">
        <w:rPr>
          <w:rFonts w:ascii="Arial" w:hAnsi="Arial" w:eastAsia="Arial" w:cs="Arial"/>
          <w:b/>
          <w:bCs/>
          <w:lang w:val="en-GB"/>
        </w:rPr>
        <w:t xml:space="preserve">Vignetas de puntuación:</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Totalmente desactivado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El gobierno no proporciona información a los actores de la sociedad civil sobre cómo se han utilizado sus aportaciones en la toma de decisiones. No existe documentación pública ni informes sobre los resultados de las consultas a los actores de la sociedad civil, lo que deja a estos sin medios para evaluar o exigir responsabilidades al gobierno. No existen vías para que los actores de la sociedad civil puedan recurrir las decisiones o hacer un seguimiento del impacto de sus comentarios.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Pr>
            <w:r w:rsidRPr="2C5C2622">
              <w:rPr>
                <w:rFonts w:ascii="Arial" w:hAnsi="Arial" w:eastAsia="Arial" w:cs="Arial"/>
                <w:lang w:val="en-US"/>
              </w:rPr>
              <w:t xml:space="preserve">El gobierno proporciona una retroalimentación mínima y vaga a los actores de la sociedad civil, a menudo carente de detalles o transparencia. La documentación pública sobre los resultados de las consultas a los actores de la sociedad civil es esporádica e incompleta, lo que socava significativamente la rendición de cuentas. Existen vías limitadas o poco transparentes para que los actores de la sociedad civil cuestionen o impugnen las decisiones del gobierno relativas a sus aportaciones.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Parcialmente habilitante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El gobierno proporciona cierta retroalimentación, pero es inconsistente o carece de detalles. Existe documentación pública o informes sobre las consultas a los actores de la sociedad civil, pero no son exhaustivos ni se actualizan periódicamente. Si bien existen algunos mecanismos de rendición de cuentas, siguen existiendo importantes lagunas en materia de transparencia y de oportunidades para que los actores de la sociedad civil hagan un seguimiento o impugnen las decisiones sobre cómo se utiliza su retroalimentación.</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El gobierno proporciona información detallada a los actores de la sociedad civil sobre cómo se han utilizado sus aportaciones en los procesos de toma de decisiones, aunque puede haber lagunas ocasionales. La documentación pública o los informes sobre los resultados de las consultas a los actores de la sociedad civil son regulares, y la mayor parte de la información relevante se pone a disposición del público. Existen canales claros para que los actores de la sociedad civil exijan responsabilidades al gobierno, incluidos espacios para el seguimiento y la impugnación de decisiones cuando sea necesario.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color w:val="000000" w:themeColor="text1"/>
              </w:rPr>
            </w:pPr>
            <w:r w:rsidRPr="2C5C2622">
              <w:rPr>
                <w:rFonts w:ascii="Arial" w:hAnsi="Arial" w:eastAsia="Arial" w:cs="Arial"/>
                <w:b/>
                <w:bCs/>
                <w:color w:val="000000" w:themeColor="text1"/>
                <w:lang w:val="en"/>
              </w:rPr>
              <w:t xml:space="preserve">Totalmente habilitante (5)</w:t>
            </w:r>
            <w: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pBdr>
                <w:top w:val="nil"/>
                <w:left w:val="nil"/>
                <w:bottom w:val="nil"/>
                <w:right w:val="nil"/>
                <w:between w:val="nil"/>
              </w:pBdr>
            </w:pPr>
            <w:r w:rsidRPr="2C5C2622">
              <w:rPr>
                <w:rFonts w:ascii="Arial" w:hAnsi="Arial" w:eastAsia="Arial" w:cs="Arial"/>
                <w:lang w:val="en-US"/>
              </w:rPr>
              <w:t xml:space="preserve">El gobierno proporciona de forma sistemática información exhaustiva y transparente a los actores de la sociedad civil, detallando cómo se han integrado sus aportaciones en los procesos de toma de decisiones. La documentación y los informes públicos son exhaustivos, se actualizan periódicamente y son accesibles, lo que genera un alto nivel de transparencia. Los actores de la sociedad civil disponen de vías bien establecidas para exigir responsabilidades al gobierno, con mecanismos sólidos que les permiten realizar un seguimiento, impugnar decisiones y supervisar el impacto de sus aportaciones.</w:t>
            </w:r>
          </w:p>
        </w:tc>
      </w:tr>
    </w:tbl>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0" w:line="240" w:lineRule="auto"/>
        <w:rPr>
          <w:rFonts w:ascii="Arial" w:hAnsi="Arial" w:eastAsia="Arial" w:cs="Arial"/>
          <w:b/>
          <w:bCs/>
          <w:color w:val="2E74B5" w:themeColor="accent1" w:themeShade="BF"/>
        </w:rPr>
      </w:pPr>
    </w:p>
    <w:p w:rsidR="002F6506" w:rsidP="002F6506" w:rsidRDefault="002F6506">
      <w:pPr>
        <w:spacing w:after="0" w:line="240" w:lineRule="auto"/>
        <w:rPr>
          <w:rFonts w:ascii="Arial" w:hAnsi="Arial" w:eastAsia="Arial" w:cs="Arial"/>
          <w:b/>
          <w:bCs/>
          <w:color w:val="2E74B5" w:themeColor="accent1" w:themeShade="BF"/>
        </w:rPr>
      </w:pPr>
      <w:r w:rsidRPr="6B082B04">
        <w:rPr>
          <w:rFonts w:ascii="Arial" w:hAnsi="Arial" w:eastAsia="Arial" w:cs="Arial"/>
          <w:b/>
          <w:bCs/>
          <w:color w:val="2E74B5" w:themeColor="accent1" w:themeShade="BF"/>
          <w:lang w:val="en-GB"/>
        </w:rPr>
        <w:t xml:space="preserve">Preguntas orientativas para el Principio 5: </w:t>
      </w:r>
      <w:r w:rsidRPr="6B082B04">
        <w:rPr>
          <w:rFonts w:eastAsiaTheme="minorEastAsia"/>
          <w:b/>
          <w:bCs/>
          <w:color w:val="2E74B5" w:themeColor="accent1" w:themeShade="BF"/>
          <w:lang w:val="en-GB"/>
        </w:rPr>
        <w:t xml:space="preserve">Cultura pública y discursos favorables a la sociedad civil</w:t>
      </w:r>
    </w:p>
    <w:p w:rsidR="002F6506" w:rsidP="002F6506" w:rsidRDefault="002F6506">
      <w:pPr>
        <w:spacing w:after="200" w:line="288" w:lineRule="auto"/>
        <w:rPr>
          <w:rFonts w:ascii="Arial" w:hAnsi="Arial" w:eastAsia="Arial" w:cs="Arial"/>
          <w:b/>
          <w:bCs/>
        </w:rPr>
      </w:pPr>
      <w:r w:rsidRPr="6B082B04">
        <w:rPr>
          <w:rFonts w:ascii="Arial" w:hAnsi="Arial" w:eastAsia="Arial" w:cs="Arial"/>
          <w:b/>
          <w:bCs/>
          <w:lang w:val="en-GB"/>
        </w:rPr>
        <w:t xml:space="preserve">5.1 | Discurso público y diálogo constructivo sobre la sociedad civil</w:t>
      </w:r>
    </w:p>
    <w:p w:rsidR="002F6506" w:rsidP="002F6506" w:rsidRDefault="002F6506">
      <w:pPr>
        <w:spacing w:after="200" w:line="288" w:lineRule="auto"/>
        <w:rPr>
          <w:rFonts w:ascii="Arial" w:hAnsi="Arial" w:eastAsia="Arial" w:cs="Arial"/>
        </w:rPr>
      </w:pPr>
      <w:r w:rsidRPr="51D9F959">
        <w:rPr>
          <w:rFonts w:ascii="Arial" w:hAnsi="Arial" w:eastAsia="Arial" w:cs="Arial"/>
          <w:lang w:val="en-GB"/>
        </w:rPr>
        <w:t xml:space="preserve">Preguntas: </w:t>
      </w:r>
    </w:p>
    <w:p w:rsidR="002F6506" w:rsidP="002F6506" w:rsidRDefault="002F6506">
      <w:pPr>
        <w:pStyle w:val="ListParagraph"/>
        <w:numPr>
          <w:ilvl w:val="0"/>
          <w:numId w:val="14"/>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¿Cómo perciben y enmarcan públicamente el gobierno y los líderes políticos el papel de los actores de la sociedad civil? Considere si los reconocen como partes interesadas esenciales o si los retratan como amenazas, irrelevantes o periféricos.</w:t>
      </w:r>
    </w:p>
    <w:p w:rsidR="002F6506" w:rsidP="002F6506" w:rsidRDefault="002F6506">
      <w:pPr>
        <w:pStyle w:val="ListParagraph"/>
        <w:numPr>
          <w:ilvl w:val="0"/>
          <w:numId w:val="13"/>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¿Cómo influye la cobertura mediática en la percepción pública de los actores de la sociedad civil y en qué medida destaca sus contribuciones o amplifica las narrativas negativas? Evalúe si los medios de comunicación fomentan de manera sistemática la confianza y el reconocimiento hacia los actores de la sociedad civil o se inclinan hacia el escepticismo y la desconfianza.</w:t>
      </w:r>
    </w:p>
    <w:p w:rsidR="002F6506" w:rsidP="002F6506" w:rsidRDefault="002F6506">
      <w:pPr>
        <w:pStyle w:val="ListParagraph"/>
        <w:numPr>
          <w:ilvl w:val="0"/>
          <w:numId w:val="12"/>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¿En qué medida se caracteriza el diálogo por el respeto, la inclusividad y un enfoque en las soluciones basadas en datos generadas por los actores de la sociedad civil? ¿Con qué frecuencia se incorporan sus datos y perspectivas a los debates políticos y sociales?</w:t>
      </w:r>
    </w:p>
    <w:p w:rsidR="002F6506" w:rsidP="002F6506" w:rsidRDefault="002F6506">
      <w:pPr>
        <w:pStyle w:val="ListParagraph"/>
        <w:numPr>
          <w:ilvl w:val="0"/>
          <w:numId w:val="11"/>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¿Cómo influye la cultura del diálogo público, incluyendo el gobierno, los medios de comunicación y las redes sociales, en el papel de los actores de la sociedad civil y en su capacidad para contribuir a un diálogo constructivo?</w:t>
      </w: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perjudicial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El gobierno y/o los políticos presentan sistemáticamente a algunos o a la mayoría de los actores de la sociedad civil como amenazas para la soberanía, la identidad o la estabilidad nacionales. Los medios de comunicación difunden regularmente narrativas negativas, retratando a los actores de la sociedad civil como poco fiables, influenciados por el extranjero o irrelevantes para las prioridades nacionales. El diálogo de los políticos y otras partes interesadas relevantes se caracteriza por la hostilidad, la desinformación y los ataques personales. Hay poco o ningún respeto por las opiniones divergentes. El discurso público general fomenta la división y disminuye la confianza en los actores de la sociedad civil.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Desfavorable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6B082B04">
              <w:rPr>
                <w:rFonts w:ascii="Arial" w:hAnsi="Arial" w:eastAsia="Arial" w:cs="Arial"/>
                <w:lang w:val="en-US"/>
              </w:rPr>
              <w:t xml:space="preserve">Algunos políticos o figuras del gobierno describen ocasionalmente a las OSC como innecesarias o potencialmente perjudiciales para los intereses nacionales. La cobertura mediática es variada, pero tiende al escepticismo, cuestionando los motivos o la eficacia del trabajo de la sociedad civil. El diálogo político suele volverse combativo e ideológico, con un enfoque limitado en argumentos basados en pruebas. El discurso público tiende a fomentar el escepticismo, limitando el papel constructivo de la sociedad civil.</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Parcialmente propicio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rPr>
                <w:rFonts w:ascii="Arial" w:hAnsi="Arial" w:eastAsia="Arial" w:cs="Arial"/>
                <w:lang w:val="en-US"/>
              </w:rPr>
            </w:pPr>
            <w:r w:rsidRPr="732BBE29">
              <w:rPr>
                <w:rFonts w:ascii="Arial" w:hAnsi="Arial" w:eastAsia="Arial" w:cs="Arial"/>
                <w:lang w:val="en-US"/>
              </w:rPr>
              <w:t xml:space="preserve">El gobierno y los políticos reconocen nominalmente el papel de la sociedad civil, pero en la práctica la consideran periférica para la gobernanza y el desarrollo nacional. La cobertura mediática es equilibrada, presentando perspectivas tanto positivas como negativas sin un sesgo marcado. El diálogo político presenta elementos tanto constructivos como destructivos.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El gobierno y los líderes políticos reconocen el papel de la sociedad civil a la hora de abordar cuestiones sociales y promover el desarrollo nacional. </w:t>
            </w:r>
            <w:r w:rsidRPr="732BBE29">
              <w:rPr>
                <w:rFonts w:ascii="Arial" w:hAnsi="Arial" w:eastAsia="Arial" w:cs="Arial"/>
                <w:lang w:val="en-US"/>
              </w:rPr>
              <w:t xml:space="preserve">La cobertura </w:t>
            </w:r>
            <w:r w:rsidRPr="732BBE29">
              <w:rPr>
                <w:rFonts w:ascii="Arial" w:hAnsi="Arial" w:eastAsia="Arial" w:cs="Arial"/>
                <w:lang w:val="en-US"/>
              </w:rPr>
              <w:t xml:space="preserve">de los medios de comunicación</w:t>
            </w:r>
            <w:r w:rsidRPr="732BBE29">
              <w:rPr>
                <w:rFonts w:ascii="Arial" w:hAnsi="Arial" w:eastAsia="Arial" w:cs="Arial"/>
                <w:lang w:val="en-US"/>
              </w:rPr>
              <w:lastRenderedPageBreak/>
            </w:r>
            <w:r w:rsidRPr="732BBE29">
              <w:rPr>
                <w:rFonts w:ascii="Arial" w:hAnsi="Arial" w:eastAsia="Arial" w:cs="Arial"/>
                <w:lang w:val="en-US"/>
              </w:rPr>
              <w:t xml:space="preserve"> es en gran medida positiva, y destaca las contribuciones de los actores de la sociedad civil al bienestar social y a la resolución de problemas. El diálogo político es, en general, respetuoso e inclusivo, y el discurso público se centra en soluciones basadas en datos empíricos. Se valoran las contribuciones de los actores de la sociedad civil, aunque no siempre se solicitan. Aunque persisten los retos para un diálogo constructivo, estos son mínimos.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Totalmente propicio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El gobierno reconoce y busca activamente a los actores de la sociedad civil como partes interesadas esenciales en la gobernanza y el desarrollo. Los medios de comunicación destacan constantemente los éxitos de la sociedad civil y amplifican sus causas, fomentando un amplio reconocimiento público. El diálogo político se caracteriza por el respeto mutuo y la inclusividad, y el discurso público hace hincapié en la toma de decisiones basada en datos empíricos.</w:t>
            </w:r>
          </w:p>
        </w:tc>
      </w:tr>
    </w:tbl>
    <w:p w:rsidR="002F6506" w:rsidP="002F6506" w:rsidRDefault="002F6506">
      <w:pPr>
        <w:spacing w:before="240" w:after="240"/>
        <w:rPr>
          <w:rFonts w:ascii="Arial" w:hAnsi="Arial" w:eastAsia="Arial" w:cs="Arial"/>
          <w:b/>
          <w:bCs/>
        </w:rPr>
      </w:pPr>
      <w:r w:rsidRPr="51D9F959">
        <w:rPr>
          <w:rFonts w:ascii="Arial" w:hAnsi="Arial" w:eastAsia="Arial" w:cs="Arial"/>
          <w:b/>
          <w:bCs/>
          <w:lang w:val="en-GB"/>
        </w:rPr>
        <w:t xml:space="preserve">5.2 | Percepción de la sociedad civil y la participación ciudadana</w:t>
      </w:r>
    </w:p>
    <w:p w:rsidR="002F6506" w:rsidP="002F6506" w:rsidRDefault="002F6506">
      <w:pPr>
        <w:spacing w:before="240" w:after="200"/>
        <w:rPr>
          <w:rFonts w:ascii="Arial" w:hAnsi="Arial" w:eastAsia="Arial" w:cs="Arial"/>
          <w:b/>
          <w:bCs/>
          <w:color w:val="000000" w:themeColor="text1"/>
        </w:rPr>
      </w:pPr>
      <w:r w:rsidRPr="51D9F959">
        <w:rPr>
          <w:rFonts w:ascii="Arial" w:hAnsi="Arial" w:eastAsia="Arial" w:cs="Arial"/>
          <w:b/>
          <w:bCs/>
          <w:color w:val="000000" w:themeColor="text1"/>
          <w:lang w:val="en-GB"/>
        </w:rPr>
        <w:t xml:space="preserve">Preguntas: </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51D9F959">
        <w:rPr>
          <w:rFonts w:ascii="Arial" w:hAnsi="Arial" w:eastAsia="Arial" w:cs="Arial"/>
          <w:color w:val="000000" w:themeColor="text1"/>
        </w:rPr>
        <w:t xml:space="preserve">¿En qué medida creen los ciudadanos que la sociedad civil desempeña un papel positivo en su país?</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6B082B04">
        <w:rPr>
          <w:rFonts w:ascii="Arial" w:hAnsi="Arial" w:eastAsia="Arial" w:cs="Arial"/>
          <w:color w:val="000000" w:themeColor="text1"/>
        </w:rPr>
        <w:t xml:space="preserve">¿En qué medida creen los ciudadanos que pueden influir en las decisiones políticas y participar activamente en los procesos políticos? Considere también la prevalencia de la participación de la población en iniciativas comunitarias o en organizaciones cívicas políticas o no políticas.</w:t>
      </w:r>
    </w:p>
    <w:p w:rsidR="002F6506" w:rsidP="002F6506" w:rsidRDefault="002F6506">
      <w:pPr>
        <w:pStyle w:val="ListParagraph"/>
        <w:numPr>
          <w:ilvl w:val="0"/>
          <w:numId w:val="10"/>
        </w:numPr>
        <w:spacing w:before="240" w:after="200"/>
        <w:rPr>
          <w:rFonts w:ascii="Arial" w:hAnsi="Arial" w:eastAsia="Arial" w:cs="Arial"/>
          <w:color w:val="000000" w:themeColor="text1"/>
        </w:rPr>
      </w:pPr>
      <w:r w:rsidRPr="732BBE29">
        <w:rPr>
          <w:rFonts w:ascii="Arial" w:hAnsi="Arial" w:eastAsia="Arial" w:cs="Arial"/>
          <w:color w:val="000000" w:themeColor="text1"/>
        </w:rPr>
        <w:t xml:space="preserve">¿En qué medida es accesible la educación cívica? ¿En qué medida las escuelas y los programas comunitarios ofrecen una educación integral sobre los derechos políticos, las responsabilidades y la importancia de la participación cívica?</w:t>
      </w:r>
    </w:p>
    <w:p w:rsidR="002F6506" w:rsidP="002F6506" w:rsidRDefault="002F6506">
      <w:pPr>
        <w:spacing w:after="200" w:line="288" w:lineRule="auto"/>
        <w:rPr>
          <w:rFonts w:ascii="Arial" w:hAnsi="Arial" w:eastAsia="Arial" w:cs="Arial"/>
          <w:b/>
          <w:bCs/>
        </w:rPr>
      </w:pPr>
      <w:r w:rsidRPr="732BBE29">
        <w:rPr>
          <w:rFonts w:ascii="Arial" w:hAnsi="Arial" w:eastAsia="Arial" w:cs="Arial"/>
          <w:b/>
          <w:bCs/>
          <w:lang w:val="en-GB"/>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incapacitante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Los ciudadanos se sienten impotentes para influir en las decisiones políticas, con una participación cívica muy baja o insignificante. La educación cívica es prácticamente inexistente, y los ciudadanos tienen un conocimiento limitado de sus derechos o responsabilidades cívicas. La participación en los procesos políticos, incluso en las elecciones nacionales, es mínima o se desalienta en gran medida.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Pocos ciudadanos creen que pueden influir en las decisiones políticas, lo que se traduce en un bajo nivel de compromiso cívico. La educación cívica es mínima y se hace poco hincapié en los derechos o las responsabilidades individuales. La participación política se da principalmente a través del voto en las elecciones nacionales, con pocas oportunidades de participación fuera de este ámbito.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Parcialmente propicio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Se reconocen las responsabilidades cívicas, pero solo una parte de la población participa activamente en los procesos políticos. Existe educación cívica, pero no se le da importancia en todas las instituciones educativas ni en todos los grupos demográficos. Los ciudadanos participan en las elecciones principales, pero lo hacen en menor medida en iniciativas locales o centradas en temas específicos.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La mayoría de los ciudadanos cree que puede influir en las decisiones políticas, y una mayoría participa en los procesos cívicos. La educación cívica está bien establecida, aunque la participación puede variar según el grupo demográfico. Existen retos ocasionales para la participación cívica (por ejemplo, barreras burocráticas), pero no disuaden a la mayoría.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propicio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Creencia generalizada en el poder de los individuos y los grupos para influir en las decisiones políticas. Las escuelas y las instituciones educan activamente a los ciudadanos sobre los derechos y responsabilidades cívicas. Las organizaciones comunitarias y las iniciativas ciudadanas participan habitualmente en los procesos de toma de decisiones, la formulación de políticas y el desarrollo local.</w:t>
            </w:r>
          </w:p>
        </w:tc>
      </w:tr>
    </w:tbl>
    <w:p w:rsidR="002F6506" w:rsidP="002F6506" w:rsidRDefault="002F6506">
      <w:pPr>
        <w:spacing w:before="240" w:after="240"/>
        <w:rPr>
          <w:rFonts w:ascii="Arial" w:hAnsi="Arial" w:eastAsia="Arial" w:cs="Arial"/>
          <w:b/>
          <w:bCs/>
        </w:rPr>
      </w:pPr>
      <w:r w:rsidRPr="51D9F959">
        <w:rPr>
          <w:rFonts w:ascii="Arial" w:hAnsi="Arial" w:eastAsia="Arial" w:cs="Arial"/>
          <w:b/>
          <w:bCs/>
          <w:lang w:val="en-GB"/>
        </w:rPr>
        <w:t xml:space="preserve">5.3 | Igualdad e inclusión cívicas</w:t>
      </w:r>
    </w:p>
    <w:p w:rsidR="002F6506" w:rsidP="002F6506" w:rsidRDefault="002F6506">
      <w:pPr>
        <w:spacing w:before="240" w:after="200"/>
        <w:rPr>
          <w:rFonts w:ascii="Arial" w:hAnsi="Arial" w:eastAsia="Arial" w:cs="Arial"/>
          <w:color w:val="000000" w:themeColor="text1"/>
        </w:rPr>
      </w:pPr>
      <w:r w:rsidRPr="51D9F959">
        <w:rPr>
          <w:rFonts w:ascii="Arial" w:hAnsi="Arial" w:eastAsia="Arial" w:cs="Arial"/>
          <w:color w:val="000000" w:themeColor="text1"/>
          <w:lang w:val="en-GB"/>
        </w:rPr>
        <w:t xml:space="preserve">Preguntas:</w:t>
      </w:r>
    </w:p>
    <w:p w:rsidR="002F6506" w:rsidP="002F6506" w:rsidRDefault="002F6506">
      <w:pPr>
        <w:pStyle w:val="ListParagraph"/>
        <w:numPr>
          <w:ilvl w:val="0"/>
          <w:numId w:val="9"/>
        </w:numPr>
        <w:spacing w:before="240" w:after="200"/>
        <w:rPr>
          <w:rFonts w:ascii="Arial" w:hAnsi="Arial" w:eastAsia="Arial" w:cs="Arial"/>
          <w:color w:val="000000" w:themeColor="text1"/>
        </w:rPr>
      </w:pPr>
      <w:r w:rsidRPr="51D9F959">
        <w:rPr>
          <w:rFonts w:ascii="Arial" w:hAnsi="Arial" w:eastAsia="Arial" w:cs="Arial"/>
          <w:color w:val="000000" w:themeColor="text1"/>
        </w:rPr>
        <w:t xml:space="preserve">¿En qué medida garantizan los sistemas jurídicos, sociales y económicos la igualdad de derechos y oportunidades para que todas las personas, incluidos los grupos marginados, participen en los procesos cívicos?</w:t>
      </w:r>
    </w:p>
    <w:p w:rsidR="002F6506" w:rsidP="002F6506" w:rsidRDefault="002F6506">
      <w:pPr>
        <w:pStyle w:val="ListParagraph"/>
        <w:numPr>
          <w:ilvl w:val="0"/>
          <w:numId w:val="9"/>
        </w:numPr>
        <w:spacing w:before="240" w:after="200"/>
        <w:rPr>
          <w:rFonts w:ascii="Arial" w:hAnsi="Arial" w:eastAsia="Arial" w:cs="Arial"/>
          <w:b/>
          <w:bCs/>
        </w:rPr>
      </w:pPr>
      <w:r w:rsidRPr="732BBE29">
        <w:rPr>
          <w:rFonts w:ascii="Arial" w:hAnsi="Arial" w:eastAsia="Arial" w:cs="Arial"/>
          <w:color w:val="000000" w:themeColor="text1"/>
        </w:rPr>
        <w:t xml:space="preserve">¿Qué grado de solidez tienen las barreras sociales y económicas para los grupos marginados y desatendidos y las poblaciones vulnerables (incluidas las de clase, etnia, género/identidad, idioma, religión u orientación sexual)? ¿En qué medida existe tolerancia social y respeto por la diversidad entre las poblaciones del grupo mayoritario o dominante? </w:t>
      </w:r>
    </w:p>
    <w:p w:rsidR="002F6506" w:rsidP="002F6506" w:rsidRDefault="002F6506">
      <w:pPr>
        <w:spacing w:before="240" w:after="200"/>
        <w:rPr>
          <w:rFonts w:ascii="Arial" w:hAnsi="Arial" w:eastAsia="Arial" w:cs="Arial"/>
          <w:b/>
          <w:bCs/>
        </w:rPr>
      </w:pPr>
      <w:r w:rsidRPr="732BBE29">
        <w:rPr>
          <w:rFonts w:ascii="Arial" w:hAnsi="Arial" w:eastAsia="Arial" w:cs="Arial"/>
          <w:b/>
          <w:bCs/>
          <w:lang w:val="en-GB"/>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limitante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732BBE29">
              <w:rPr>
                <w:rFonts w:ascii="Arial" w:hAnsi="Arial" w:eastAsia="Arial" w:cs="Arial"/>
                <w:lang w:val="en-US"/>
              </w:rPr>
              <w:t xml:space="preserve">Importantes barreras legales, sociales o económicas impiden la participación cívica en igualdad de condiciones. Los derechos y las oportunidades están distribuidos de forma desigual, y la discriminación sistémica es generalizada. Los grupos minoritarios o marginados tienen una representación mínima o nula en la gobernanza, los foros públicos o la sociedad civil. Las actitudes hacia las comunidades minoritarias y marginadas se caracterizan por la desconfianza y los prejuicios.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Inhabilitante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Se han abordado algunas barreras legales, pero los obstáculos sociales y económicos siguen impidiendo la participación equitativa de muchos grupos. La representación de los grupos marginados existe en algunas áreas, pero es simbólica o insuficiente para influir en la toma de decisiones. La sociedad se compromete con la necesidad de inclusión, pero persisten la desconfianza social y los prejuicios.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Parcialmente propicio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Existen reformas legales para apoyar la igualdad, pero su aplicación es desigual y persisten las disparidades económicas. Los grupos marginados están representados en la sociedad civil y la gobernanza en una medida moderada, con una influencia creciente en los debates sobre políticas. Existe tolerancia social en general, pero sigue habiendo resistencia en algunos sectores de la sociedad.</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lastRenderedPageBreak/>
            </w:r>
            <w:r w:rsidRPr="51D9F959">
              <w:rPr>
                <w:rFonts w:ascii="Arial" w:hAnsi="Arial" w:eastAsia="Arial" w:cs="Arial"/>
                <w:b/>
                <w:bCs/>
                <w:lang w:val="es-ES"/>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Las estructuras legales e institucionales apoyan activamente la igualdad, con pocas barreras a la participación de los grupos marginados. Los grupos marginados tienen una representación significativa en la gobernanza y la sociedad civil, y participan en la configuración de las decisiones y las políticas. Existe un amplio apoyo a las alianzas sociales diversas, aunque a menudo falta la integración de las poblaciones marginadas en dichas alianzas, especialmente en puestos de liderazgo.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rPr>
                <w:rFonts w:ascii="Arial" w:hAnsi="Arial" w:eastAsia="Arial" w:cs="Arial"/>
              </w:rPr>
            </w:pPr>
            <w:r w:rsidRPr="51D9F959">
              <w:rPr>
                <w:rFonts w:ascii="Arial" w:hAnsi="Arial" w:eastAsia="Arial" w:cs="Arial"/>
                <w:b/>
                <w:bCs/>
                <w:lang w:val="es-ES"/>
              </w:rPr>
              <w:t xml:space="preserve">Totalmente propicio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160"/>
            </w:pPr>
            <w:r w:rsidRPr="51D9F959">
              <w:rPr>
                <w:rFonts w:ascii="Arial" w:hAnsi="Arial" w:eastAsia="Arial" w:cs="Arial"/>
                <w:lang w:val="en-US"/>
              </w:rPr>
              <w:t xml:space="preserve">Todos los grupos tienen las mismas oportunidades legales, sociales y económicas para participar en los procesos políticos. Se han eliminado las barreras a la participación. La gobernanza y la sociedad civil reflejan la diversidad plena de la población, con una representación equitativa y poder de decisión para los grupos marginados. La sociedad defiende la inclusividad y está profundamente arraigada en la promoción de la igualdad y el apoyo a las comunidades marginadas a todos los niveles.</w:t>
            </w:r>
          </w:p>
        </w:tc>
      </w:tr>
    </w:tbl>
    <w:p w:rsidR="002F6506" w:rsidP="002F6506" w:rsidRDefault="002F6506">
      <w:pPr>
        <w:spacing w:after="200" w:line="288" w:lineRule="auto"/>
        <w:rPr>
          <w:rFonts w:ascii="Arial" w:hAnsi="Arial" w:eastAsia="Arial" w:cs="Arial"/>
          <w:b/>
          <w:bCs/>
          <w:color w:val="2E74B5" w:themeColor="accent1" w:themeShade="BF"/>
        </w:rPr>
      </w:pPr>
    </w:p>
    <w:p w:rsidR="002F6506" w:rsidP="002F6506" w:rsidRDefault="002F6506">
      <w:pPr>
        <w:spacing w:after="200" w:line="288" w:lineRule="auto"/>
        <w:rPr>
          <w:rFonts w:ascii="Arial" w:hAnsi="Arial" w:eastAsia="Arial" w:cs="Arial"/>
          <w:color w:val="2E74B5" w:themeColor="accent1" w:themeShade="BF"/>
        </w:rPr>
      </w:pPr>
      <w:r w:rsidRPr="582F23E0">
        <w:rPr>
          <w:rFonts w:ascii="Arial" w:hAnsi="Arial" w:eastAsia="Arial" w:cs="Arial"/>
          <w:b/>
          <w:bCs/>
          <w:color w:val="2E74B5" w:themeColor="accent1" w:themeShade="BF"/>
          <w:lang w:val="en-GB"/>
        </w:rPr>
        <w:t xml:space="preserve">Preguntas orientativas para el Principio 6: </w:t>
      </w:r>
      <w:r w:rsidRPr="582F23E0">
        <w:rPr>
          <w:rFonts w:ascii="Arial" w:hAnsi="Arial" w:eastAsia="Arial" w:cs="Arial"/>
          <w:color w:val="2E74B5" w:themeColor="accent1" w:themeShade="BF"/>
          <w:lang w:val="en-GB"/>
        </w:rPr>
        <w:t xml:space="preserve">Acceso a un entorno digital seguro</w:t>
      </w: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6.1 | Derechos y libertades digitales</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Preguntas:</w:t>
      </w:r>
    </w:p>
    <w:p w:rsidR="002F6506" w:rsidP="002F6506" w:rsidRDefault="002F6506">
      <w:pPr>
        <w:pStyle w:val="ListParagraph"/>
        <w:numPr>
          <w:ilvl w:val="0"/>
          <w:numId w:val="5"/>
        </w:numPr>
        <w:shd w:val="clear" w:color="auto" w:fill="FFFFFF" w:themeFill="background1"/>
        <w:spacing w:before="280"/>
        <w:jc w:val="both"/>
        <w:rPr>
          <w:rFonts w:ascii="Arial" w:hAnsi="Arial" w:eastAsia="Arial" w:cs="Arial"/>
          <w:color w:val="000000" w:themeColor="text1"/>
        </w:rPr>
      </w:pPr>
      <w:r w:rsidRPr="582F23E0">
        <w:rPr>
          <w:rFonts w:ascii="Arial" w:hAnsi="Arial" w:eastAsia="Arial" w:cs="Arial"/>
          <w:color w:val="000000" w:themeColor="text1"/>
          <w:lang w:val="en-US"/>
        </w:rPr>
        <w:t xml:space="preserve">¿</w:t>
      </w:r>
      <w:r w:rsidRPr="582F23E0">
        <w:rPr>
          <w:rFonts w:ascii="Arial" w:hAnsi="Arial" w:eastAsia="Arial" w:cs="Arial"/>
          <w:color w:val="000000" w:themeColor="text1"/>
          <w:lang w:val="en-US"/>
        </w:rPr>
        <w:t xml:space="preserve">Con qué frecuencia </w:t>
      </w:r>
      <w:r w:rsidRPr="582F23E0">
        <w:rPr>
          <w:rFonts w:ascii="Arial" w:hAnsi="Arial" w:eastAsia="Arial" w:cs="Arial"/>
          <w:color w:val="000000" w:themeColor="text1"/>
          <w:lang w:val="en-US"/>
        </w:rPr>
        <w:t xml:space="preserve">se producen los cortes de Internet y de las redes sociales en el país </w:t>
      </w:r>
      <w:r w:rsidRPr="582F23E0">
        <w:rPr>
          <w:rFonts w:ascii="Arial" w:hAnsi="Arial" w:eastAsia="Arial" w:cs="Arial"/>
          <w:color w:val="000000" w:themeColor="text1"/>
          <w:lang w:val="en-US"/>
        </w:rPr>
        <w:t xml:space="preserve">y </w:t>
      </w:r>
      <w:r w:rsidRPr="582F23E0">
        <w:rPr>
          <w:rFonts w:ascii="Arial" w:hAnsi="Arial" w:eastAsia="Arial" w:cs="Arial"/>
          <w:color w:val="000000" w:themeColor="text1"/>
          <w:lang w:val="en-US"/>
        </w:rPr>
        <w:t xml:space="preserve">cuál es su impacto? Considere la frecuencia de los cortes y sus efectos sobre la capacidad de las OSC para operar, así como el momento y la justificación de dichos cortes (por ejemplo, durante protestas o elecciones).</w:t>
      </w:r>
    </w:p>
    <w:p w:rsidR="002F6506" w:rsidP="002F6506" w:rsidRDefault="002F6506">
      <w:pPr>
        <w:pStyle w:val="ListParagraph"/>
        <w:numPr>
          <w:ilvl w:val="0"/>
          <w:numId w:val="4"/>
        </w:numPr>
        <w:shd w:val="clear" w:color="auto" w:fill="FFFFFF" w:themeFill="background1"/>
        <w:spacing w:before="240"/>
        <w:jc w:val="both"/>
        <w:rPr>
          <w:rFonts w:ascii="Arial" w:hAnsi="Arial" w:eastAsia="Arial" w:cs="Arial"/>
          <w:color w:val="000000" w:themeColor="text1"/>
        </w:rPr>
      </w:pPr>
      <w:r w:rsidRPr="582F23E0">
        <w:rPr>
          <w:rFonts w:ascii="Arial" w:hAnsi="Arial" w:eastAsia="Arial" w:cs="Arial"/>
          <w:color w:val="000000" w:themeColor="text1"/>
          <w:lang w:val="en"/>
        </w:rPr>
        <w:t xml:space="preserve">¿Existen leyes, reglamentos o políticas gubernamentales propuestas o en vigor relacionadas con la libertad en Internet y los contenidos en línea? ¿Se aplican estas políticas y cómo abordan las prácticas de aplicación el uso indebido o la distorsión de la información por parte de actores tanto gubernamentales como no estatales, por ejemplo, mediante la manipulación o la vigilancia?</w:t>
      </w:r>
    </w:p>
    <w:p w:rsidR="002F6506" w:rsidP="002F6506" w:rsidRDefault="002F6506">
      <w:pPr>
        <w:pStyle w:val="ListParagraph"/>
        <w:numPr>
          <w:ilvl w:val="0"/>
          <w:numId w:val="4"/>
        </w:numPr>
        <w:shd w:val="clear" w:color="auto" w:fill="FFFFFF" w:themeFill="background1"/>
        <w:spacing w:after="240"/>
        <w:jc w:val="both"/>
        <w:rPr>
          <w:rFonts w:ascii="Arial" w:hAnsi="Arial" w:eastAsia="Arial" w:cs="Arial"/>
          <w:color w:val="000000" w:themeColor="text1"/>
        </w:rPr>
      </w:pPr>
      <w:r w:rsidRPr="582F23E0">
        <w:rPr>
          <w:rFonts w:ascii="Arial" w:hAnsi="Arial" w:eastAsia="Arial" w:cs="Arial"/>
          <w:color w:val="000000" w:themeColor="text1"/>
          <w:lang w:val="en-US"/>
        </w:rPr>
        <w:t xml:space="preserve">¿Con qué frecuencia censura el gobierno contenidos políticos en Internet y las redes sociales, incluyendo el filtrado de sitios web, la eliminación de publicaciones y la vigilancia de actividades políticas, en particular aquellas dirigidas a las OSC y sus miembros? ¿En qué medida son exhaustivas y selectivas la censura y la vigilancia en las redes sociales?</w:t>
      </w:r>
    </w:p>
    <w:p w:rsidR="002F6506" w:rsidP="002F6506" w:rsidRDefault="002F6506">
      <w:pPr>
        <w:pStyle w:val="ListParagraph"/>
        <w:numPr>
          <w:ilvl w:val="0"/>
          <w:numId w:val="4"/>
        </w:numPr>
        <w:shd w:val="clear" w:color="auto" w:fill="FFFFFF" w:themeFill="background1"/>
        <w:spacing w:after="240"/>
        <w:jc w:val="both"/>
        <w:rPr>
          <w:rFonts w:ascii="Arial" w:hAnsi="Arial" w:eastAsia="Arial" w:cs="Arial"/>
          <w:color w:val="000000" w:themeColor="text1"/>
          <w:lang w:val="es-ES"/>
        </w:rPr>
      </w:pPr>
      <w:r w:rsidRPr="6B082B04">
        <w:rPr>
          <w:rFonts w:ascii="Arial" w:hAnsi="Arial" w:eastAsia="Arial" w:cs="Arial"/>
          <w:color w:val="000000" w:themeColor="text1"/>
          <w:lang w:val="es-ES"/>
        </w:rPr>
        <w:t xml:space="preserve">¿Qué papel desempeñan las plataformas privadas, como las empresas de redes sociales, en el filtrado de contenidos, y en qué medida esto concuerda o entra en conflicto con las políticas gubernamentales? ¿Qué medidas se han adoptado para garantizar la transparencia y la rendición de cuentas?</w:t>
      </w:r>
    </w:p>
    <w:p w:rsidR="002F6506" w:rsidP="002F6506" w:rsidRDefault="002F6506">
      <w:pPr>
        <w:pStyle w:val="ListParagraph"/>
        <w:widowControl w:val="0"/>
        <w:numPr>
          <w:ilvl w:val="0"/>
          <w:numId w:val="3"/>
        </w:numPr>
        <w:rPr>
          <w:rFonts w:ascii="Arial" w:hAnsi="Arial" w:eastAsia="Arial" w:cs="Arial"/>
          <w:color w:val="000000" w:themeColor="text1"/>
          <w:lang w:val="es-ES"/>
        </w:rPr>
      </w:pPr>
      <w:r w:rsidRPr="6B082B04">
        <w:rPr>
          <w:rFonts w:ascii="Arial" w:hAnsi="Arial" w:eastAsia="Arial" w:cs="Arial"/>
          <w:color w:val="000000" w:themeColor="text1"/>
          <w:lang w:val="en-US"/>
        </w:rPr>
        <w:t xml:space="preserve">¿Se han producido casos de activistas de OSC, periodistas o particulares detenidos o perseguidos por sus actividades en línea? Proporcione detalles de casos o tendencias específicos, haciendo hincapié en la participación de actores estatales o no estatales (por ejemplo, empresas tecnológicas o particulares).</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b/>
          <w:bCs/>
          <w:color w:val="000000" w:themeColor="text1"/>
          <w:lang w:val="en"/>
        </w:rPr>
        <w:t xml:space="preserve">Puntuación de las viñetas:</w:t>
      </w:r>
    </w:p>
    <w:tbl>
      <w:tblPr>
        <w:tblStyle w:val="TableGrid"/>
        <w:tblW w:w="9000" w:type="dxa"/>
        <w:tblBorders>
          <w:top w:val="single" w:color="auto" w:sz="6" w:space="0"/>
          <w:left w:val="single" w:color="auto" w:sz="6" w:space="0"/>
          <w:bottom w:val="single" w:color="auto" w:sz="6" w:space="0"/>
          <w:right w:val="single" w:color="auto" w:sz="6" w:space="0"/>
        </w:tblBorders>
        <w:tblLayout w:type="fixed"/>
        <w:tblLook w:val="0000"/>
      </w:tblPr>
      <w:tblGrid>
        <w:gridCol w:w="1845"/>
        <w:gridCol w:w="7155"/>
      </w:tblGrid>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Desactivación total (1)</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Las autoridades cortan con frecuencia el acceso a Internet y a las redes sociales, especialmente durante eventos políticos (por ejemplo, protestas, elecciones). Existe una amplia vigilancia y censura de los contenidos políticos, permitiéndose los sitios web progubernamentales y bloqueándose los contenidos críticos. No </w:t>
            </w:r>
            <w:r w:rsidRPr="6B082B04">
              <w:rPr>
                <w:rFonts w:ascii="Arial" w:hAnsi="Arial" w:eastAsia="Arial" w:cs="Arial"/>
                <w:lang w:val="en-US"/>
              </w:rPr>
              <w:t xml:space="preserve">se aplica</w:t>
            </w:r>
            <w:r w:rsidRPr="6B082B04">
              <w:rPr>
                <w:rFonts w:ascii="Arial" w:hAnsi="Arial" w:eastAsia="Arial" w:cs="Arial"/>
                <w:lang w:val="en-US"/>
              </w:rPr>
              <w:lastRenderedPageBreak/>
            </w:r>
            <w:r w:rsidRPr="6B082B04">
              <w:rPr>
                <w:rFonts w:ascii="Arial" w:hAnsi="Arial" w:eastAsia="Arial" w:cs="Arial"/>
                <w:lang w:val="en-US"/>
              </w:rPr>
              <w:t xml:space="preserve"> ninguna ley o normativa relacionada con la libertad en Internet, y tanto el Gobierno como los actores no estatales manipulan la información. Las plataformas de redes sociales ocultan con frecuencia determinados contenidos que consideran incompatibles, sin garantizar la transparencia y la rendición de cuentas. Se producen frecuentes detenciones de activistas de OSC y particulares por sus actividades en línea críticas con el Gobierno.</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Inhabilitante (2)</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Las autoridades suelen bloquear el acceso a las plataformas de redes sociales y a Internet a nivel nacional, especialmente en torno a acontecimientos delicados. La vigilancia de los contenidos políticos en las redes sociales es en su mayor parte exhaustiva, y se supervisan la mayoría de las cuestiones políticas clave y a los activistas. El gobierno censura habitualmente la información política en Internet, eliminando una cantidad significativa de contenidos críticos. El gobierno censura todos los contenidos políticos en las redes sociales, lo que dificulta que se escuchen las voces disidentes. Existen leyes o normativas sobre la libertad en Internet, pero son débiles y su aplicación es inconsistente. Las plataformas de redes sociales suelen ocultar determinados contenidos que consideran incompatibles, sin garantizar la transparencia ni la rendición de cuentas. Se han producido casos de detenciones de activistas de organizaciones de la sociedad civil y de particulares por sus actividades en línea críticas con el Gobierno.</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Parcialmente favorable (3)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Las autoridades bloquean ocasionalmente el acceso a las plataformas de redes sociales y a Internet en el país, o amenazan con hacerlo. En ocasiones se lleva a cabo la vigilancia y el control de los contenidos. El Gobierno censura de forma selectiva la información política en Internet. Se censura una parte significativa de los contenidos políticos en las redes sociales, aunque no la totalidad. Se han propuesto y están en vigor leyes, reglamentos o políticas gubernamentales relacionadas con la libertad en Internet y los contenidos en línea. Las plataformas de redes sociales ocultan ocasionalmente determinados contenidos que consideran incompatibles, sin total transparencia ni rendición de cuentas. Se producen detenciones ocasionales de activistas y particulares por actividades en línea críticas con el Gobierno.</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Favorable (4)</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US"/>
              </w:rPr>
              <w:t xml:space="preserve">Las autoridades rara vez bloquean el acceso a las plataformas de redes sociales ni el acceso a Internet en el país. La vigilancia del contenido político en las redes sociales es limitada, con un control mínimo. El gobierno rara vez censura la información política en Internet, permitiendo que la mayor parte de la información siga siendo accesible. El gobierno solo censura el contenido de las redes sociales relacionado con temas especialmente sensibles. Se proponen o están en vigor leyes, reglamentos o políticas gubernamentales exhaustivas relacionadas con la libertad en Internet y los contenidos en línea. Las plataformas de redes sociales rara vez ocultan contenidos que consideran incompatibles, lo que garantiza la transparencia y la rendición de cuentas. El gobierno respeta las voces alternativas y no detiene a activistas críticos con el gobierno.</w:t>
            </w:r>
          </w:p>
        </w:tc>
      </w:tr>
      <w:tr w:rsidR="002F6506" w:rsidTr="006B581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widowControl w:val="0"/>
              <w:rPr>
                <w:rFonts w:ascii="Arial" w:hAnsi="Arial" w:eastAsia="Arial" w:cs="Arial"/>
              </w:rPr>
            </w:pPr>
            <w:r w:rsidRPr="582F23E0">
              <w:rPr>
                <w:rFonts w:ascii="Arial" w:hAnsi="Arial" w:eastAsia="Arial" w:cs="Arial"/>
                <w:b/>
                <w:bCs/>
                <w:lang w:val="en"/>
              </w:rPr>
              <w:t xml:space="preserve">Totalmente habilitante (5)</w:t>
            </w:r>
            <w:r>
              <w:br/>
            </w:r>
          </w:p>
          <w:p w:rsidR="002F6506" w:rsidP="006B5817" w:rsidRDefault="002F6506">
            <w:pPr>
              <w:widowControl w:val="0"/>
              <w:rPr>
                <w:rFonts w:ascii="Arial" w:hAnsi="Arial" w:eastAsia="Arial" w:cs="Arial"/>
              </w:rPr>
            </w:pPr>
            <w:r w:rsidRPr="582F23E0">
              <w:rPr>
                <w:rFonts w:ascii="Arial" w:hAnsi="Arial" w:eastAsia="Arial" w:cs="Arial"/>
                <w:b/>
                <w:bCs/>
                <w:lang w:val="en"/>
              </w:rPr>
              <w:t xml:space="preserve">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hd w:val="clear" w:color="auto" w:fill="FFFFFF" w:themeFill="background1"/>
              <w:rPr>
                <w:rFonts w:ascii="Arial" w:hAnsi="Arial" w:eastAsia="Arial" w:cs="Arial"/>
              </w:rPr>
            </w:pPr>
            <w:r w:rsidRPr="6B082B04">
              <w:rPr>
                <w:rFonts w:ascii="Arial" w:hAnsi="Arial" w:eastAsia="Arial" w:cs="Arial"/>
                <w:lang w:val="en"/>
              </w:rPr>
              <w:t xml:space="preserve"> Las autoridades nunca han bloqueado el acceso a las redes sociales ni a Internet en el país. La vigilancia de los contenidos políticos en las redes sociales es mínima o inexistente. El Gobierno no censura la información política en Internet, permitiendo un acceso sin restricciones. El Gobierno no censura los contenidos políticos en las redes sociales. </w:t>
            </w:r>
            <w:r w:rsidRPr="6B082B04">
              <w:rPr>
                <w:rFonts w:ascii="Arial" w:hAnsi="Arial" w:eastAsia="Arial" w:cs="Arial"/>
                <w:lang w:val="en"/>
              </w:rPr>
              <w:t xml:space="preserve">Se han propuesto o están en vigor </w:t>
            </w:r>
            <w:r w:rsidRPr="6B082B04">
              <w:rPr>
                <w:rFonts w:ascii="Arial" w:hAnsi="Arial" w:eastAsia="Arial" w:cs="Arial"/>
                <w:lang w:val="en"/>
              </w:rPr>
              <w:t xml:space="preserve">leyes, reglamentos o políticas gubernamentales exhaustivas y sólidas</w:t>
            </w:r>
            <w:r w:rsidRPr="6B082B04">
              <w:rPr>
                <w:rFonts w:ascii="Arial" w:hAnsi="Arial" w:eastAsia="Arial" w:cs="Arial"/>
                <w:lang w:val="en"/>
              </w:rPr>
              <w:lastRenderedPageBreak/>
            </w:r>
            <w:r w:rsidRPr="6B082B04">
              <w:rPr>
                <w:rFonts w:ascii="Arial" w:hAnsi="Arial" w:eastAsia="Arial" w:cs="Arial"/>
                <w:lang w:val="en"/>
              </w:rPr>
              <w:t xml:space="preserve"> relacionadas con la libertad en Internet y los contenidos en línea. </w:t>
            </w:r>
            <w:r w:rsidRPr="6B082B04">
              <w:rPr>
                <w:rFonts w:ascii="Arial" w:hAnsi="Arial" w:eastAsia="Arial" w:cs="Arial"/>
                <w:lang w:val="en-US"/>
              </w:rPr>
              <w:t xml:space="preserve">Las plataformas de redes sociales nunca ocultan contenidos que consideren incompatibles, lo que garantiza una total transparencia y rendición de cuentas. </w:t>
            </w:r>
            <w:r w:rsidRPr="6B082B04">
              <w:rPr>
                <w:rFonts w:ascii="Arial" w:hAnsi="Arial" w:eastAsia="Arial" w:cs="Arial"/>
                <w:lang w:val="en"/>
              </w:rPr>
              <w:t xml:space="preserve">El Gobierno respeta la libertad de las OSC y los activistas para llevar a cabo su labor sin temor a ser detenidos. </w:t>
            </w:r>
          </w:p>
        </w:tc>
      </w:tr>
    </w:tbl>
    <w:p w:rsidR="002F6506" w:rsidP="002F6506" w:rsidRDefault="002F6506">
      <w:pPr>
        <w:rPr>
          <w:rFonts w:ascii="Arial" w:hAnsi="Arial" w:eastAsia="Arial" w:cs="Arial"/>
          <w:color w:val="000000" w:themeColor="text1"/>
        </w:rPr>
      </w:pP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6.2 | Seguridad digital y privacidad</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Preguntas:</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US"/>
        </w:rPr>
        <w:t xml:space="preserve">¿Existen pruebas de que organismos gubernamentales u otros actores relevantes (por ejemplo, empresas privadas, grupos no estatales) hayan llevado a cabo ciberataques, utilizado software espía, malware u otras herramientas de piratería informática para infiltrarse en los dispositivos, redes o plataformas de comunicación en línea (por ejemplo, correo electrónico, aplicaciones de mensajería, etc.) de los actores de la sociedad civil? ¿Con qué frecuencia se producen estos ataques y cuál es su impacto en la capacidad de los actores de la sociedad civil para operar de forma segura en línea?</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US"/>
        </w:rPr>
        <w:t xml:space="preserve">¿Existen leyes específicas de protección de datos para salvaguardar la privacidad digital de los actores de la sociedad civil, en particular en lo que respecta a sus comunicaciones y actividades en línea? ¿Qué mecanismos de reparación existen para los actores de la sociedad civil que sufren violaciones de su privacidad digital, como piratería informática, vigilancia o filtraciones de datos? </w:t>
      </w:r>
    </w:p>
    <w:p w:rsidR="002F6506" w:rsidP="002F6506" w:rsidRDefault="002F6506">
      <w:pPr>
        <w:pStyle w:val="ListParagraph"/>
        <w:numPr>
          <w:ilvl w:val="0"/>
          <w:numId w:val="2"/>
        </w:numPr>
        <w:spacing w:after="0"/>
        <w:jc w:val="both"/>
        <w:rPr>
          <w:rFonts w:ascii="Arial" w:hAnsi="Arial" w:eastAsia="Arial" w:cs="Arial"/>
          <w:color w:val="000000" w:themeColor="text1"/>
          <w:lang w:val="es-ES"/>
        </w:rPr>
      </w:pPr>
      <w:r w:rsidRPr="582F23E0">
        <w:rPr>
          <w:rFonts w:ascii="Arial" w:hAnsi="Arial" w:eastAsia="Arial" w:cs="Arial"/>
          <w:color w:val="000000" w:themeColor="text1"/>
          <w:lang w:val="en"/>
        </w:rPr>
        <w:t xml:space="preserve">¿Existen pruebas de que cuentas de redes sociales vinculadas al Gobierno, bots u otros actores difundan desinformación, intimiden a los actores de la sociedad civil en línea o manipulen las conversaciones en línea para desacreditar a los actores de la sociedad civil y su trabajo? </w:t>
      </w:r>
    </w:p>
    <w:p w:rsidR="002F6506" w:rsidP="002F6506" w:rsidRDefault="002F6506">
      <w:pPr>
        <w:spacing w:after="0"/>
        <w:ind w:start="708"/>
        <w:jc w:val="both"/>
        <w:rPr>
          <w:rFonts w:ascii="Arial" w:hAnsi="Arial" w:eastAsia="Arial" w:cs="Arial"/>
          <w:color w:val="000000" w:themeColor="text1"/>
          <w:lang w:val="es-ES"/>
        </w:rPr>
      </w:pP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b/>
          <w:bCs/>
          <w:color w:val="000000" w:themeColor="text1"/>
          <w:lang w:val="en"/>
        </w:rPr>
        <w:t xml:space="preserve">Puntuación de las viñetas: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Incapacitación total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Los organismos gubernamentales u otros actores (por ejemplo, empresas privadas, grupos no estatales) participan con frecuencia en ciberataques, utilizando spyware, malware u otras herramientas de piratería informática para infiltrarse en los dispositivos, las redes o las plataformas de comunicación en línea de los actores de la sociedad civil. Las leyes de protección de datos son inexistentes o muy inadecuadas, y su aplicación es ineficaz. Los mecanismos de reparación por violaciones de la privacidad digital, como la piratería informática o la vigilancia, son completamente inexistentes o ineficaces. El gobierno utiliza con frecuencia cuentas en redes sociales o bots para difundir desinformación, intimidar a los actores de la sociedad civil o manipular las conversaciones en línea con el fin de desacreditar a los actores de la sociedad civil y su trabajo.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Inhabilitante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Los organismos gubernamentales u otros actores (por ejemplo, empresas privadas, grupos no estatales) llevan a cabo regularmente ciberataques o utilizan spyware, malware y otras herramientas para infiltrarse en los dispositivos o plataformas en línea de los actores de la sociedad civil. Si bien existen leyes de protección de datos, son insuficientes y su aplicación es inconsistente. Los mecanismos de reparación para los actores de la sociedad civil son débiles o de difícil acceso. El gobierno utiliza con frecuencia cuentas en redes sociales o bots para difundir desinformación, acosar a los actores de la sociedad civil en línea o manipular conversaciones para desacreditarlos. </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Parcialmente propicio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lang w:val="es-ES"/>
              </w:rPr>
            </w:pPr>
            <w:r w:rsidRPr="582F23E0">
              <w:rPr>
                <w:rFonts w:ascii="Arial" w:hAnsi="Arial" w:eastAsia="Arial" w:cs="Arial"/>
                <w:lang w:val="en-US"/>
              </w:rPr>
              <w:t xml:space="preserve">Existen pruebas ocasionales de que el gobierno u otros actores (por ejemplo, empresas privadas, grupos no estatales) están vinculados a ciberataques, spyware, malware o herramientas de piratería informática dirigidas contra los actores de la sociedad civil. Existen leyes de protección de datos que son en cierta medida eficaces, con cierta aplicación, y los mecanismos de reparación son accesibles, pero no universalmente eficaces. El gobierno utiliza esporádicamente cuentas en redes sociales o bots para difundir desinformación, acosar a los actores de la sociedad civil o influir en las conversaciones en línea sobre los actores de la sociedad civil y su trabajo.</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Favorable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rPr>
            </w:pPr>
            <w:r w:rsidRPr="6B082B04">
              <w:rPr>
                <w:rFonts w:ascii="Arial" w:hAnsi="Arial" w:eastAsia="Arial" w:cs="Arial"/>
                <w:lang w:val="en-US"/>
              </w:rPr>
              <w:t xml:space="preserve">El gobierno u otros actores (por ejemplo, empresas privadas, grupos no estatales) respetan en general los derechos de los actores de la sociedad civil a operar en línea sin participar en ciberataques patrocinados por el Estado ni en violaciones de la privacidad. Existen leyes de protección de datos exhaustivas y que se aplican, y los actores de la sociedad civil disponen de mecanismos de reparación eficaces. El gobierno puede utilizar ocasionalmente las redes sociales para difundir desinformación o acosar a los actores de la sociedad civil, pero tales acciones son poco frecuentes y no sistemáticas.</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after="280"/>
              <w:rPr>
                <w:rFonts w:ascii="Arial" w:hAnsi="Arial" w:eastAsia="Arial" w:cs="Arial"/>
              </w:rPr>
            </w:pPr>
            <w:r w:rsidRPr="582F23E0">
              <w:rPr>
                <w:rFonts w:ascii="Arial" w:hAnsi="Arial" w:eastAsia="Arial" w:cs="Arial"/>
                <w:b/>
                <w:bCs/>
                <w:lang w:val="en"/>
              </w:rPr>
              <w:t xml:space="preserve">Totalmente propicio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rPr>
                <w:rFonts w:ascii="Arial" w:hAnsi="Arial" w:eastAsia="Arial" w:cs="Arial"/>
              </w:rPr>
            </w:pPr>
            <w:r w:rsidRPr="6B082B04">
              <w:rPr>
                <w:rFonts w:ascii="Arial" w:hAnsi="Arial" w:eastAsia="Arial" w:cs="Arial"/>
                <w:lang w:val="en-US"/>
              </w:rPr>
              <w:t xml:space="preserve">El gobierno u otros actores (por ejemplo, empresas privadas, grupos no estatales) respetan plenamente los derechos de las OSC a operar libremente en línea, sin incurrir en violaciones de la privacidad por parte del Estado en Internet contra ellas, tales como ciberataques, spyware, malware o el uso de otras herramientas de piratería informática. Existen y se aplican leyes exhaustivas de protección de datos. Los actores de la sociedad civil tienen acceso a mecanismos sólidos para solicitar reparación por ciberataques, y estos mecanismos son, en general, eficaces. El gobierno no utiliza las redes sociales para difundir desinformación, intimidar a los actores de la sociedad civil o manipular el discurso en línea.</w:t>
            </w:r>
          </w:p>
        </w:tc>
      </w:tr>
    </w:tbl>
    <w:p w:rsidR="002F6506" w:rsidP="002F6506" w:rsidRDefault="002F6506">
      <w:pPr>
        <w:rPr>
          <w:rFonts w:ascii="Arial" w:hAnsi="Arial" w:eastAsia="Arial" w:cs="Arial"/>
          <w:color w:val="000000" w:themeColor="text1"/>
        </w:rPr>
      </w:pPr>
    </w:p>
    <w:p w:rsidR="002F6506" w:rsidP="002F6506" w:rsidRDefault="002F6506">
      <w:pPr>
        <w:keepNext/>
        <w:keepLines/>
        <w:rPr>
          <w:rFonts w:ascii="Arial" w:hAnsi="Arial" w:eastAsia="Arial" w:cs="Arial"/>
          <w:color w:val="000000" w:themeColor="text1"/>
        </w:rPr>
      </w:pPr>
      <w:r w:rsidRPr="582F23E0">
        <w:rPr>
          <w:rFonts w:ascii="Arial" w:hAnsi="Arial" w:eastAsia="Arial" w:cs="Arial"/>
          <w:b/>
          <w:bCs/>
          <w:color w:val="000000" w:themeColor="text1"/>
          <w:lang w:val="en"/>
        </w:rPr>
        <w:t xml:space="preserve">6.3 | Accesibilidad digital</w:t>
      </w:r>
    </w:p>
    <w:p w:rsidR="002F6506" w:rsidP="002F6506" w:rsidRDefault="002F6506">
      <w:pPr>
        <w:shd w:val="clear" w:color="auto" w:fill="FFFFFF" w:themeFill="background1"/>
        <w:spacing w:before="240" w:after="240"/>
        <w:jc w:val="both"/>
        <w:rPr>
          <w:rFonts w:ascii="Arial" w:hAnsi="Arial" w:eastAsia="Arial" w:cs="Arial"/>
          <w:color w:val="000000" w:themeColor="text1"/>
        </w:rPr>
      </w:pPr>
      <w:r w:rsidRPr="582F23E0">
        <w:rPr>
          <w:rFonts w:ascii="Arial" w:hAnsi="Arial" w:eastAsia="Arial" w:cs="Arial"/>
          <w:color w:val="000000" w:themeColor="text1"/>
          <w:lang w:val="en"/>
        </w:rPr>
        <w:t xml:space="preserve">Preguntas:</w:t>
      </w:r>
    </w:p>
    <w:p w:rsidR="002F6506" w:rsidP="002F6506" w:rsidRDefault="002F6506">
      <w:pPr>
        <w:pStyle w:val="ListParagraph"/>
        <w:numPr>
          <w:ilvl w:val="0"/>
          <w:numId w:val="1"/>
        </w:numPr>
        <w:shd w:val="clear" w:color="auto" w:fill="FFFFFF" w:themeFill="background1"/>
        <w:spacing w:before="240" w:after="240"/>
        <w:jc w:val="both"/>
        <w:rPr>
          <w:rFonts w:ascii="Arial" w:hAnsi="Arial" w:eastAsia="Arial" w:cs="Arial"/>
          <w:color w:val="000000" w:themeColor="text1"/>
          <w:lang w:val="es-ES"/>
        </w:rPr>
      </w:pPr>
      <w:r w:rsidRPr="6B082B04">
        <w:rPr>
          <w:rFonts w:ascii="Arial" w:hAnsi="Arial" w:eastAsia="Arial" w:cs="Arial"/>
          <w:color w:val="000000" w:themeColor="text1"/>
          <w:lang w:val="en-US"/>
        </w:rPr>
        <w:t xml:space="preserve">¿Qué grado de accesibilidad tiene Internet en todo el país, incluyendo la disponibilidad, la asequibilidad y la calidad del servicio? ¿En qué medida pueden los actores de la sociedad civil acceder y compartir contenidos en línea? </w:t>
      </w:r>
    </w:p>
    <w:p w:rsidR="002F6506" w:rsidP="002F6506" w:rsidRDefault="002F6506">
      <w:pPr>
        <w:pStyle w:val="ListParagraph"/>
        <w:numPr>
          <w:ilvl w:val="0"/>
          <w:numId w:val="1"/>
        </w:numPr>
        <w:shd w:val="clear" w:color="auto" w:fill="FFFFFF" w:themeFill="background1"/>
        <w:spacing w:before="240" w:after="240"/>
        <w:jc w:val="both"/>
        <w:rPr>
          <w:rFonts w:ascii="Arial" w:hAnsi="Arial" w:eastAsia="Arial" w:cs="Arial"/>
          <w:color w:val="000000" w:themeColor="text1"/>
        </w:rPr>
      </w:pPr>
      <w:r w:rsidRPr="6B082B04">
        <w:rPr>
          <w:rFonts w:ascii="Arial" w:hAnsi="Arial" w:eastAsia="Arial" w:cs="Arial"/>
          <w:color w:val="000000" w:themeColor="text1"/>
          <w:lang w:val="en-US"/>
        </w:rPr>
        <w:t xml:space="preserve">¿Cuál es el nivel de competencias básicas en TIC (alfabetización informacional y de datos) entre la población general y el personal de las OSC? Evalúe si la población y el personal de las OSC poseen las competencias adecuadas para utilizar eficazmente las herramientas digitales e interpretar la información en línea.</w:t>
      </w:r>
    </w:p>
    <w:p w:rsidR="002F6506" w:rsidP="002F6506" w:rsidRDefault="002F6506">
      <w:pPr>
        <w:pStyle w:val="ListParagraph"/>
        <w:numPr>
          <w:ilvl w:val="0"/>
          <w:numId w:val="1"/>
        </w:numPr>
        <w:spacing w:after="0"/>
        <w:rPr>
          <w:rFonts w:ascii="Arial" w:hAnsi="Arial" w:eastAsia="Arial" w:cs="Arial"/>
          <w:color w:val="000000" w:themeColor="text1"/>
          <w:lang w:val="es-ES"/>
        </w:rPr>
      </w:pPr>
      <w:r w:rsidRPr="582F23E0">
        <w:rPr>
          <w:rFonts w:ascii="Arial" w:hAnsi="Arial" w:eastAsia="Arial" w:cs="Arial"/>
          <w:color w:val="000000" w:themeColor="text1"/>
          <w:lang w:val="en-US"/>
        </w:rPr>
        <w:t xml:space="preserve">Tenga en cuenta el papel de la inteligencia artificial (IA) y otras tecnologías emergentes en la configuración de la accesibilidad digital y las competencias necesarias para utilizar estas herramientas. ¿En qué medida están preparados los actores de la sociedad civil y la población general para adaptarse a estas tecnologías?</w:t>
      </w:r>
    </w:p>
    <w:p w:rsidR="002F6506" w:rsidP="002F6506" w:rsidRDefault="002F6506">
      <w:pPr>
        <w:spacing w:before="280" w:after="280"/>
        <w:rPr>
          <w:rFonts w:ascii="Arial" w:hAnsi="Arial" w:eastAsia="Arial" w:cs="Arial"/>
          <w:color w:val="000000" w:themeColor="text1"/>
        </w:rPr>
      </w:pPr>
      <w:r w:rsidRPr="582F23E0">
        <w:rPr>
          <w:rFonts w:ascii="Arial" w:hAnsi="Arial" w:eastAsia="Arial" w:cs="Arial"/>
          <w:b/>
          <w:bCs/>
          <w:color w:val="000000" w:themeColor="text1"/>
          <w:lang w:val="en"/>
        </w:rPr>
        <w:t xml:space="preserve">Vignetas de puntuación:</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tblPr>
      <w:tblGrid>
        <w:gridCol w:w="1815"/>
        <w:gridCol w:w="7185"/>
      </w:tblGrid>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Totalmente limitante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Una tasa de penetración de Internet significativamente baja dificulta la capacidad de las OSC para utilizar Internet de manera eficaz, especialmente en entornos donde el acceso no está disponible ni para las propias OSC ni para sus públicos objetivo. Además, el bajo nivel de competencias básicas en TIC en materia de alfabetización informacional y de datos entre la población plantea retos adicionales. Las competencias básicas en TIC de la población son muy escasas, lo que hace que </w:t>
            </w:r>
            <w:r w:rsidRPr="6B082B04">
              <w:rPr>
                <w:rFonts w:ascii="Arial" w:hAnsi="Arial" w:eastAsia="Arial" w:cs="Arial"/>
                <w:lang w:val="en-US"/>
              </w:rPr>
              <w:t xml:space="preserve">las OSC de l</w:t>
            </w:r>
            <w:r w:rsidRPr="6B082B04">
              <w:rPr>
                <w:rFonts w:ascii="Arial" w:hAnsi="Arial" w:eastAsia="Arial" w:cs="Arial"/>
                <w:lang w:val="en-US"/>
              </w:rPr>
              <w:lastRenderedPageBreak/>
            </w:r>
            <w:r w:rsidRPr="6B082B04">
              <w:rPr>
                <w:rFonts w:ascii="Arial" w:hAnsi="Arial" w:eastAsia="Arial" w:cs="Arial"/>
                <w:lang w:val="en-US"/>
              </w:rPr>
              <w:t xml:space="preserve"> e tengan dificultades para contratar a trabajadores cualificados. La población en general se enfrenta a importantes barreras para acceder o interpretar los contenidos de las OSC debido a su limitada alfabetización digital, lo que también dificulta su capacidad (así como la de los actores de la sociedad civil) para adaptarse a las tecnologías emergentes, como la 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lastRenderedPageBreak/>
            </w:r>
            <w:r w:rsidRPr="582F23E0">
              <w:rPr>
                <w:rFonts w:ascii="Arial" w:hAnsi="Arial" w:eastAsia="Arial" w:cs="Arial"/>
                <w:b/>
                <w:bCs/>
                <w:lang w:val="en"/>
              </w:rPr>
              <w:t xml:space="preserve">Limitante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Una baja tasa de penetración de Internet dificulta la capacidad de las OSC para utilizar Internet de manera eficaz, especialmente en entornos donde el acceso no está disponible ni para las propias OSC ni para sus públicos objetivo. Los conocimientos básicos de TIC de la población son insuficientes, lo que plantea retos a las OSC, que a menudo tienen que recurrir a una plantilla con escasas competencias digitales. El público destinatario también tiene dificultades habituales para acceder o comprender los contenidos de las OSC debido a su escasa alfabetización digital, lo que también limita su capacidad (así como la de los actores de la sociedad civil) para adaptarse a tecnologías emergentes, como la 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US"/>
              </w:rPr>
              <w:t xml:space="preserve">Facilita parcialmente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lang w:val="en-US"/>
              </w:rPr>
            </w:pPr>
            <w:r w:rsidRPr="6B082B04">
              <w:rPr>
                <w:rFonts w:ascii="Arial" w:hAnsi="Arial" w:eastAsia="Arial" w:cs="Arial"/>
                <w:lang w:val="en-US"/>
              </w:rPr>
              <w:t xml:space="preserve">Una tasa de penetración de Internet moderada dificulta en cierta medida la capacidad de las OSC para utilizar Internet de manera eficaz, especialmente en entornos en los que ni las propias OSC ni sus públicos objetivo disponen de acceso. Las competencias básicas en TIC de la población se sitúan en un nivel moderado, lo que significa que persisten algunos retos para las OSC, que pueden verse en la necesidad de contratar a trabajadores con competencias digitales intermedias. El público destinatario se enfrenta ocasionalmente a dificultades para acceder o interpretar los contenidos de las OSC debido a una alfabetización digital limitada, lo que también limita su capacidad (así como la de los actores de la sociedad civil) para adaptarse a tecnologías emergentes, como la 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 Facilitador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color w:val="000000" w:themeColor="text1"/>
                <w:lang w:val="en-US"/>
              </w:rPr>
            </w:pPr>
            <w:r w:rsidRPr="6B082B04">
              <w:rPr>
                <w:rFonts w:ascii="Arial" w:hAnsi="Arial" w:eastAsia="Arial" w:cs="Arial"/>
                <w:lang w:val="en-US"/>
              </w:rPr>
              <w:t xml:space="preserve">Una alta tasa de penetración de Internet permite a las OSC utilizar Internet de manera eficaz. Además, el creciente nivel de competencias básicas en TIC y de alfabetización informacional y de datos entre la población reduce los retos. Esto hace que las OSC tengan que contratar personal de entre una reserva de mano de obra cualificada en TIC, y que su público objetivo no experimente, en general, barreras significativas para acceder o comprender el trabajo de las OSC. </w:t>
            </w:r>
            <w:r w:rsidRPr="6B082B04">
              <w:rPr>
                <w:rFonts w:ascii="Arial" w:hAnsi="Arial" w:eastAsia="Arial" w:cs="Arial"/>
                <w:color w:val="000000" w:themeColor="text1"/>
                <w:lang w:val="en-US"/>
              </w:rPr>
              <w:t xml:space="preserve">Los actores de la sociedad civil y la población en general están bien equipados para interactuar con tecnologías emergentes, como la IA.</w:t>
            </w:r>
          </w:p>
        </w:tc>
      </w:tr>
      <w:tr w:rsidR="002F6506" w:rsidTr="006B581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spacing w:before="200" w:after="200"/>
              <w:rPr>
                <w:rFonts w:ascii="Arial" w:hAnsi="Arial" w:eastAsia="Arial" w:cs="Arial"/>
              </w:rPr>
            </w:pPr>
            <w:r w:rsidRPr="582F23E0">
              <w:rPr>
                <w:rFonts w:ascii="Arial" w:hAnsi="Arial" w:eastAsia="Arial" w:cs="Arial"/>
                <w:b/>
                <w:bCs/>
                <w:lang w:val="en"/>
              </w:rPr>
              <w:t xml:space="preserve">Condiciones totalmente propicias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2F6506" w:rsidP="006B5817" w:rsidRDefault="002F6506">
            <w:pPr>
              <w:pBdr>
                <w:top w:val="nil"/>
                <w:left w:val="nil"/>
                <w:bottom w:val="nil"/>
                <w:right w:val="nil"/>
                <w:between w:val="nil"/>
              </w:pBdr>
              <w:rPr>
                <w:rFonts w:ascii="Arial" w:hAnsi="Arial" w:eastAsia="Arial" w:cs="Arial"/>
              </w:rPr>
            </w:pPr>
            <w:r w:rsidRPr="6B082B04">
              <w:rPr>
                <w:rFonts w:ascii="Arial" w:hAnsi="Arial" w:eastAsia="Arial" w:cs="Arial"/>
                <w:lang w:val="en-US"/>
              </w:rPr>
              <w:t xml:space="preserve">Una tasa de penetración de Internet significativamente alta permite a las OSC utilizar Internet de manera eficaz. Existe un alto nivel de alfabetización digital en toda la población, lo que elimina la mayoría de los retos. Las OSC pueden contratar fácilmente a profesionales cualificados en TIC, y sus públicos objetivo pueden acceder e interpretar sin esfuerzo el contenido producido por las OSC. La población y los actores de la sociedad civil también están bien preparados para interactuar con tecnologías emergentes, como la IA.</w:t>
            </w:r>
          </w:p>
        </w:tc>
      </w:tr>
    </w:tbl>
    <w:p w:rsidR="002F6506" w:rsidP="002F6506" w:rsidRDefault="002F6506">
      <w:pPr>
        <w:rPr>
          <w:rFonts w:ascii="Arial" w:hAnsi="Arial" w:eastAsia="Arial" w:cs="Arial"/>
          <w:color w:val="000000" w:themeColor="text1"/>
        </w:rPr>
      </w:pPr>
    </w:p>
    <w:p w:rsidR="002F6506" w:rsidP="002F6506" w:rsidRDefault="002F6506">
      <w:pPr>
        <w:rPr>
          <w:rFonts w:ascii="Aptos" w:hAnsi="Aptos" w:eastAsia="Aptos" w:cs="Aptos"/>
          <w:color w:val="000000" w:themeColor="text1"/>
          <w:sz w:val="24"/>
          <w:szCs w:val="24"/>
        </w:rPr>
      </w:pPr>
    </w:p>
    <w:p w:rsidR="00E84CE3" w:rsidRDefault="002F6506"/>
    <w:sectPr w:rsidR="00E84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DE5A"/>
    <w:multiLevelType w:val="hybridMultilevel"/>
    <w:tmpl w:val="A9A21820"/>
    <w:lvl w:ilvl="0" w:tplc="DD884A70">
      <w:start w:val="1"/>
      <w:numFmt w:val="bullet"/>
      <w:lvlText w:val="●"/>
      <w:lvlJc w:val="left"/>
      <w:pPr>
        <w:ind w:left="720" w:hanging="360"/>
      </w:pPr>
      <w:rPr>
        <w:rFonts w:ascii="Symbol" w:hAnsi="Symbol" w:hint="default"/>
      </w:rPr>
    </w:lvl>
    <w:lvl w:ilvl="1" w:tplc="19D0BE5A">
      <w:start w:val="1"/>
      <w:numFmt w:val="bullet"/>
      <w:lvlText w:val="o"/>
      <w:lvlJc w:val="left"/>
      <w:pPr>
        <w:ind w:left="1440" w:hanging="360"/>
      </w:pPr>
      <w:rPr>
        <w:rFonts w:ascii="Courier New" w:hAnsi="Courier New" w:hint="default"/>
      </w:rPr>
    </w:lvl>
    <w:lvl w:ilvl="2" w:tplc="28D4A84A">
      <w:start w:val="1"/>
      <w:numFmt w:val="bullet"/>
      <w:lvlText w:val=""/>
      <w:lvlJc w:val="left"/>
      <w:pPr>
        <w:ind w:left="2160" w:hanging="360"/>
      </w:pPr>
      <w:rPr>
        <w:rFonts w:ascii="Wingdings" w:hAnsi="Wingdings" w:hint="default"/>
      </w:rPr>
    </w:lvl>
    <w:lvl w:ilvl="3" w:tplc="B52A9206">
      <w:start w:val="1"/>
      <w:numFmt w:val="bullet"/>
      <w:lvlText w:val=""/>
      <w:lvlJc w:val="left"/>
      <w:pPr>
        <w:ind w:left="2880" w:hanging="360"/>
      </w:pPr>
      <w:rPr>
        <w:rFonts w:ascii="Symbol" w:hAnsi="Symbol" w:hint="default"/>
      </w:rPr>
    </w:lvl>
    <w:lvl w:ilvl="4" w:tplc="7A14F11E">
      <w:start w:val="1"/>
      <w:numFmt w:val="bullet"/>
      <w:lvlText w:val="o"/>
      <w:lvlJc w:val="left"/>
      <w:pPr>
        <w:ind w:left="3600" w:hanging="360"/>
      </w:pPr>
      <w:rPr>
        <w:rFonts w:ascii="Courier New" w:hAnsi="Courier New" w:hint="default"/>
      </w:rPr>
    </w:lvl>
    <w:lvl w:ilvl="5" w:tplc="8B804466">
      <w:start w:val="1"/>
      <w:numFmt w:val="bullet"/>
      <w:lvlText w:val=""/>
      <w:lvlJc w:val="left"/>
      <w:pPr>
        <w:ind w:left="4320" w:hanging="360"/>
      </w:pPr>
      <w:rPr>
        <w:rFonts w:ascii="Wingdings" w:hAnsi="Wingdings" w:hint="default"/>
      </w:rPr>
    </w:lvl>
    <w:lvl w:ilvl="6" w:tplc="6E5A04CC">
      <w:start w:val="1"/>
      <w:numFmt w:val="bullet"/>
      <w:lvlText w:val=""/>
      <w:lvlJc w:val="left"/>
      <w:pPr>
        <w:ind w:left="5040" w:hanging="360"/>
      </w:pPr>
      <w:rPr>
        <w:rFonts w:ascii="Symbol" w:hAnsi="Symbol" w:hint="default"/>
      </w:rPr>
    </w:lvl>
    <w:lvl w:ilvl="7" w:tplc="535C4E82">
      <w:start w:val="1"/>
      <w:numFmt w:val="bullet"/>
      <w:lvlText w:val="o"/>
      <w:lvlJc w:val="left"/>
      <w:pPr>
        <w:ind w:left="5760" w:hanging="360"/>
      </w:pPr>
      <w:rPr>
        <w:rFonts w:ascii="Courier New" w:hAnsi="Courier New" w:hint="default"/>
      </w:rPr>
    </w:lvl>
    <w:lvl w:ilvl="8" w:tplc="514C4B58">
      <w:start w:val="1"/>
      <w:numFmt w:val="bullet"/>
      <w:lvlText w:val=""/>
      <w:lvlJc w:val="left"/>
      <w:pPr>
        <w:ind w:left="6480" w:hanging="360"/>
      </w:pPr>
      <w:rPr>
        <w:rFonts w:ascii="Wingdings" w:hAnsi="Wingdings" w:hint="default"/>
      </w:rPr>
    </w:lvl>
  </w:abstractNum>
  <w:abstractNum w:abstractNumId="1" w15:restartNumberingAfterBreak="0">
    <w:nsid w:val="12999F5B"/>
    <w:multiLevelType w:val="hybridMultilevel"/>
    <w:tmpl w:val="28268FAA"/>
    <w:lvl w:ilvl="0" w:tplc="01C409DA">
      <w:start w:val="1"/>
      <w:numFmt w:val="bullet"/>
      <w:lvlText w:val="●"/>
      <w:lvlJc w:val="left"/>
      <w:pPr>
        <w:ind w:left="720" w:hanging="360"/>
      </w:pPr>
      <w:rPr>
        <w:rFonts w:ascii="Symbol" w:hAnsi="Symbol" w:hint="default"/>
      </w:rPr>
    </w:lvl>
    <w:lvl w:ilvl="1" w:tplc="3E9E9C94">
      <w:start w:val="1"/>
      <w:numFmt w:val="bullet"/>
      <w:lvlText w:val="o"/>
      <w:lvlJc w:val="left"/>
      <w:pPr>
        <w:ind w:left="1440" w:hanging="360"/>
      </w:pPr>
      <w:rPr>
        <w:rFonts w:ascii="Courier New" w:hAnsi="Courier New" w:hint="default"/>
      </w:rPr>
    </w:lvl>
    <w:lvl w:ilvl="2" w:tplc="51DCF75C">
      <w:start w:val="1"/>
      <w:numFmt w:val="bullet"/>
      <w:lvlText w:val=""/>
      <w:lvlJc w:val="left"/>
      <w:pPr>
        <w:ind w:left="2160" w:hanging="360"/>
      </w:pPr>
      <w:rPr>
        <w:rFonts w:ascii="Wingdings" w:hAnsi="Wingdings" w:hint="default"/>
      </w:rPr>
    </w:lvl>
    <w:lvl w:ilvl="3" w:tplc="068464CC">
      <w:start w:val="1"/>
      <w:numFmt w:val="bullet"/>
      <w:lvlText w:val=""/>
      <w:lvlJc w:val="left"/>
      <w:pPr>
        <w:ind w:left="2880" w:hanging="360"/>
      </w:pPr>
      <w:rPr>
        <w:rFonts w:ascii="Symbol" w:hAnsi="Symbol" w:hint="default"/>
      </w:rPr>
    </w:lvl>
    <w:lvl w:ilvl="4" w:tplc="6F14C92A">
      <w:start w:val="1"/>
      <w:numFmt w:val="bullet"/>
      <w:lvlText w:val="o"/>
      <w:lvlJc w:val="left"/>
      <w:pPr>
        <w:ind w:left="3600" w:hanging="360"/>
      </w:pPr>
      <w:rPr>
        <w:rFonts w:ascii="Courier New" w:hAnsi="Courier New" w:hint="default"/>
      </w:rPr>
    </w:lvl>
    <w:lvl w:ilvl="5" w:tplc="E54E866E">
      <w:start w:val="1"/>
      <w:numFmt w:val="bullet"/>
      <w:lvlText w:val=""/>
      <w:lvlJc w:val="left"/>
      <w:pPr>
        <w:ind w:left="4320" w:hanging="360"/>
      </w:pPr>
      <w:rPr>
        <w:rFonts w:ascii="Wingdings" w:hAnsi="Wingdings" w:hint="default"/>
      </w:rPr>
    </w:lvl>
    <w:lvl w:ilvl="6" w:tplc="8DB28E8E">
      <w:start w:val="1"/>
      <w:numFmt w:val="bullet"/>
      <w:lvlText w:val=""/>
      <w:lvlJc w:val="left"/>
      <w:pPr>
        <w:ind w:left="5040" w:hanging="360"/>
      </w:pPr>
      <w:rPr>
        <w:rFonts w:ascii="Symbol" w:hAnsi="Symbol" w:hint="default"/>
      </w:rPr>
    </w:lvl>
    <w:lvl w:ilvl="7" w:tplc="86247848">
      <w:start w:val="1"/>
      <w:numFmt w:val="bullet"/>
      <w:lvlText w:val="o"/>
      <w:lvlJc w:val="left"/>
      <w:pPr>
        <w:ind w:left="5760" w:hanging="360"/>
      </w:pPr>
      <w:rPr>
        <w:rFonts w:ascii="Courier New" w:hAnsi="Courier New" w:hint="default"/>
      </w:rPr>
    </w:lvl>
    <w:lvl w:ilvl="8" w:tplc="BC743C4C">
      <w:start w:val="1"/>
      <w:numFmt w:val="bullet"/>
      <w:lvlText w:val=""/>
      <w:lvlJc w:val="left"/>
      <w:pPr>
        <w:ind w:left="6480" w:hanging="360"/>
      </w:pPr>
      <w:rPr>
        <w:rFonts w:ascii="Wingdings" w:hAnsi="Wingdings" w:hint="default"/>
      </w:rPr>
    </w:lvl>
  </w:abstractNum>
  <w:abstractNum w:abstractNumId="2" w15:restartNumberingAfterBreak="0">
    <w:nsid w:val="16BF7769"/>
    <w:multiLevelType w:val="hybridMultilevel"/>
    <w:tmpl w:val="51E2D24E"/>
    <w:lvl w:ilvl="0" w:tplc="99A61030">
      <w:start w:val="1"/>
      <w:numFmt w:val="bullet"/>
      <w:lvlText w:val="·"/>
      <w:lvlJc w:val="left"/>
      <w:pPr>
        <w:ind w:left="720" w:hanging="360"/>
      </w:pPr>
      <w:rPr>
        <w:rFonts w:ascii="Symbol" w:hAnsi="Symbol" w:hint="default"/>
      </w:rPr>
    </w:lvl>
    <w:lvl w:ilvl="1" w:tplc="4080C6DC">
      <w:start w:val="1"/>
      <w:numFmt w:val="bullet"/>
      <w:lvlText w:val="o"/>
      <w:lvlJc w:val="left"/>
      <w:pPr>
        <w:ind w:left="1440" w:hanging="360"/>
      </w:pPr>
      <w:rPr>
        <w:rFonts w:ascii="Courier New" w:hAnsi="Courier New" w:hint="default"/>
      </w:rPr>
    </w:lvl>
    <w:lvl w:ilvl="2" w:tplc="98B86FAA">
      <w:start w:val="1"/>
      <w:numFmt w:val="bullet"/>
      <w:lvlText w:val=""/>
      <w:lvlJc w:val="left"/>
      <w:pPr>
        <w:ind w:left="2160" w:hanging="360"/>
      </w:pPr>
      <w:rPr>
        <w:rFonts w:ascii="Wingdings" w:hAnsi="Wingdings" w:hint="default"/>
      </w:rPr>
    </w:lvl>
    <w:lvl w:ilvl="3" w:tplc="3D3C7934">
      <w:start w:val="1"/>
      <w:numFmt w:val="bullet"/>
      <w:lvlText w:val=""/>
      <w:lvlJc w:val="left"/>
      <w:pPr>
        <w:ind w:left="2880" w:hanging="360"/>
      </w:pPr>
      <w:rPr>
        <w:rFonts w:ascii="Symbol" w:hAnsi="Symbol" w:hint="default"/>
      </w:rPr>
    </w:lvl>
    <w:lvl w:ilvl="4" w:tplc="5CB8667E">
      <w:start w:val="1"/>
      <w:numFmt w:val="bullet"/>
      <w:lvlText w:val="o"/>
      <w:lvlJc w:val="left"/>
      <w:pPr>
        <w:ind w:left="3600" w:hanging="360"/>
      </w:pPr>
      <w:rPr>
        <w:rFonts w:ascii="Courier New" w:hAnsi="Courier New" w:hint="default"/>
      </w:rPr>
    </w:lvl>
    <w:lvl w:ilvl="5" w:tplc="7D02268C">
      <w:start w:val="1"/>
      <w:numFmt w:val="bullet"/>
      <w:lvlText w:val=""/>
      <w:lvlJc w:val="left"/>
      <w:pPr>
        <w:ind w:left="4320" w:hanging="360"/>
      </w:pPr>
      <w:rPr>
        <w:rFonts w:ascii="Wingdings" w:hAnsi="Wingdings" w:hint="default"/>
      </w:rPr>
    </w:lvl>
    <w:lvl w:ilvl="6" w:tplc="39BC5772">
      <w:start w:val="1"/>
      <w:numFmt w:val="bullet"/>
      <w:lvlText w:val=""/>
      <w:lvlJc w:val="left"/>
      <w:pPr>
        <w:ind w:left="5040" w:hanging="360"/>
      </w:pPr>
      <w:rPr>
        <w:rFonts w:ascii="Symbol" w:hAnsi="Symbol" w:hint="default"/>
      </w:rPr>
    </w:lvl>
    <w:lvl w:ilvl="7" w:tplc="20C45932">
      <w:start w:val="1"/>
      <w:numFmt w:val="bullet"/>
      <w:lvlText w:val="o"/>
      <w:lvlJc w:val="left"/>
      <w:pPr>
        <w:ind w:left="5760" w:hanging="360"/>
      </w:pPr>
      <w:rPr>
        <w:rFonts w:ascii="Courier New" w:hAnsi="Courier New" w:hint="default"/>
      </w:rPr>
    </w:lvl>
    <w:lvl w:ilvl="8" w:tplc="4570428E">
      <w:start w:val="1"/>
      <w:numFmt w:val="bullet"/>
      <w:lvlText w:val=""/>
      <w:lvlJc w:val="left"/>
      <w:pPr>
        <w:ind w:left="6480" w:hanging="360"/>
      </w:pPr>
      <w:rPr>
        <w:rFonts w:ascii="Wingdings" w:hAnsi="Wingdings" w:hint="default"/>
      </w:rPr>
    </w:lvl>
  </w:abstractNum>
  <w:abstractNum w:abstractNumId="3" w15:restartNumberingAfterBreak="0">
    <w:nsid w:val="16E7ADBF"/>
    <w:multiLevelType w:val="multilevel"/>
    <w:tmpl w:val="652E23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859173E"/>
    <w:multiLevelType w:val="multilevel"/>
    <w:tmpl w:val="58AC49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ECF52B"/>
    <w:multiLevelType w:val="hybridMultilevel"/>
    <w:tmpl w:val="A6163D86"/>
    <w:lvl w:ilvl="0" w:tplc="BDCE0EF8">
      <w:start w:val="1"/>
      <w:numFmt w:val="bullet"/>
      <w:lvlText w:val=""/>
      <w:lvlJc w:val="left"/>
      <w:pPr>
        <w:ind w:left="720" w:hanging="360"/>
      </w:pPr>
      <w:rPr>
        <w:rFonts w:ascii="Symbol" w:hAnsi="Symbol" w:hint="default"/>
      </w:rPr>
    </w:lvl>
    <w:lvl w:ilvl="1" w:tplc="882C8766">
      <w:start w:val="1"/>
      <w:numFmt w:val="bullet"/>
      <w:lvlText w:val="o"/>
      <w:lvlJc w:val="left"/>
      <w:pPr>
        <w:ind w:left="1440" w:hanging="360"/>
      </w:pPr>
      <w:rPr>
        <w:rFonts w:ascii="Courier New" w:hAnsi="Courier New" w:hint="default"/>
      </w:rPr>
    </w:lvl>
    <w:lvl w:ilvl="2" w:tplc="EB748838">
      <w:start w:val="1"/>
      <w:numFmt w:val="bullet"/>
      <w:lvlText w:val=""/>
      <w:lvlJc w:val="left"/>
      <w:pPr>
        <w:ind w:left="2160" w:hanging="360"/>
      </w:pPr>
      <w:rPr>
        <w:rFonts w:ascii="Wingdings" w:hAnsi="Wingdings" w:hint="default"/>
      </w:rPr>
    </w:lvl>
    <w:lvl w:ilvl="3" w:tplc="2D16135E">
      <w:start w:val="1"/>
      <w:numFmt w:val="bullet"/>
      <w:lvlText w:val=""/>
      <w:lvlJc w:val="left"/>
      <w:pPr>
        <w:ind w:left="2880" w:hanging="360"/>
      </w:pPr>
      <w:rPr>
        <w:rFonts w:ascii="Symbol" w:hAnsi="Symbol" w:hint="default"/>
      </w:rPr>
    </w:lvl>
    <w:lvl w:ilvl="4" w:tplc="4F363B5E">
      <w:start w:val="1"/>
      <w:numFmt w:val="bullet"/>
      <w:lvlText w:val="o"/>
      <w:lvlJc w:val="left"/>
      <w:pPr>
        <w:ind w:left="3600" w:hanging="360"/>
      </w:pPr>
      <w:rPr>
        <w:rFonts w:ascii="Courier New" w:hAnsi="Courier New" w:hint="default"/>
      </w:rPr>
    </w:lvl>
    <w:lvl w:ilvl="5" w:tplc="17CAF20A">
      <w:start w:val="1"/>
      <w:numFmt w:val="bullet"/>
      <w:lvlText w:val=""/>
      <w:lvlJc w:val="left"/>
      <w:pPr>
        <w:ind w:left="4320" w:hanging="360"/>
      </w:pPr>
      <w:rPr>
        <w:rFonts w:ascii="Wingdings" w:hAnsi="Wingdings" w:hint="default"/>
      </w:rPr>
    </w:lvl>
    <w:lvl w:ilvl="6" w:tplc="18D2AD9C">
      <w:start w:val="1"/>
      <w:numFmt w:val="bullet"/>
      <w:lvlText w:val=""/>
      <w:lvlJc w:val="left"/>
      <w:pPr>
        <w:ind w:left="5040" w:hanging="360"/>
      </w:pPr>
      <w:rPr>
        <w:rFonts w:ascii="Symbol" w:hAnsi="Symbol" w:hint="default"/>
      </w:rPr>
    </w:lvl>
    <w:lvl w:ilvl="7" w:tplc="E76A502E">
      <w:start w:val="1"/>
      <w:numFmt w:val="bullet"/>
      <w:lvlText w:val="o"/>
      <w:lvlJc w:val="left"/>
      <w:pPr>
        <w:ind w:left="5760" w:hanging="360"/>
      </w:pPr>
      <w:rPr>
        <w:rFonts w:ascii="Courier New" w:hAnsi="Courier New" w:hint="default"/>
      </w:rPr>
    </w:lvl>
    <w:lvl w:ilvl="8" w:tplc="6DCA4488">
      <w:start w:val="1"/>
      <w:numFmt w:val="bullet"/>
      <w:lvlText w:val=""/>
      <w:lvlJc w:val="left"/>
      <w:pPr>
        <w:ind w:left="6480" w:hanging="360"/>
      </w:pPr>
      <w:rPr>
        <w:rFonts w:ascii="Wingdings" w:hAnsi="Wingdings" w:hint="default"/>
      </w:rPr>
    </w:lvl>
  </w:abstractNum>
  <w:abstractNum w:abstractNumId="6" w15:restartNumberingAfterBreak="0">
    <w:nsid w:val="2BDBD854"/>
    <w:multiLevelType w:val="multilevel"/>
    <w:tmpl w:val="F8E4C5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94704B2"/>
    <w:multiLevelType w:val="hybridMultilevel"/>
    <w:tmpl w:val="6A023D8A"/>
    <w:lvl w:ilvl="0" w:tplc="39C8F9EC">
      <w:start w:val="1"/>
      <w:numFmt w:val="bullet"/>
      <w:lvlText w:val=""/>
      <w:lvlJc w:val="left"/>
      <w:pPr>
        <w:ind w:left="720" w:hanging="360"/>
      </w:pPr>
      <w:rPr>
        <w:rFonts w:ascii="Symbol" w:hAnsi="Symbol" w:hint="default"/>
      </w:rPr>
    </w:lvl>
    <w:lvl w:ilvl="1" w:tplc="7B0E4C6A">
      <w:start w:val="1"/>
      <w:numFmt w:val="bullet"/>
      <w:lvlText w:val="o"/>
      <w:lvlJc w:val="left"/>
      <w:pPr>
        <w:ind w:left="1440" w:hanging="360"/>
      </w:pPr>
      <w:rPr>
        <w:rFonts w:ascii="Courier New" w:hAnsi="Courier New" w:hint="default"/>
      </w:rPr>
    </w:lvl>
    <w:lvl w:ilvl="2" w:tplc="DEF047DC">
      <w:start w:val="1"/>
      <w:numFmt w:val="bullet"/>
      <w:lvlText w:val=""/>
      <w:lvlJc w:val="left"/>
      <w:pPr>
        <w:ind w:left="2160" w:hanging="360"/>
      </w:pPr>
      <w:rPr>
        <w:rFonts w:ascii="Wingdings" w:hAnsi="Wingdings" w:hint="default"/>
      </w:rPr>
    </w:lvl>
    <w:lvl w:ilvl="3" w:tplc="19785E42">
      <w:start w:val="1"/>
      <w:numFmt w:val="bullet"/>
      <w:lvlText w:val=""/>
      <w:lvlJc w:val="left"/>
      <w:pPr>
        <w:ind w:left="2880" w:hanging="360"/>
      </w:pPr>
      <w:rPr>
        <w:rFonts w:ascii="Symbol" w:hAnsi="Symbol" w:hint="default"/>
      </w:rPr>
    </w:lvl>
    <w:lvl w:ilvl="4" w:tplc="684A7372">
      <w:start w:val="1"/>
      <w:numFmt w:val="bullet"/>
      <w:lvlText w:val="o"/>
      <w:lvlJc w:val="left"/>
      <w:pPr>
        <w:ind w:left="3600" w:hanging="360"/>
      </w:pPr>
      <w:rPr>
        <w:rFonts w:ascii="Courier New" w:hAnsi="Courier New" w:hint="default"/>
      </w:rPr>
    </w:lvl>
    <w:lvl w:ilvl="5" w:tplc="624C682A">
      <w:start w:val="1"/>
      <w:numFmt w:val="bullet"/>
      <w:lvlText w:val=""/>
      <w:lvlJc w:val="left"/>
      <w:pPr>
        <w:ind w:left="4320" w:hanging="360"/>
      </w:pPr>
      <w:rPr>
        <w:rFonts w:ascii="Wingdings" w:hAnsi="Wingdings" w:hint="default"/>
      </w:rPr>
    </w:lvl>
    <w:lvl w:ilvl="6" w:tplc="74FC6486">
      <w:start w:val="1"/>
      <w:numFmt w:val="bullet"/>
      <w:lvlText w:val=""/>
      <w:lvlJc w:val="left"/>
      <w:pPr>
        <w:ind w:left="5040" w:hanging="360"/>
      </w:pPr>
      <w:rPr>
        <w:rFonts w:ascii="Symbol" w:hAnsi="Symbol" w:hint="default"/>
      </w:rPr>
    </w:lvl>
    <w:lvl w:ilvl="7" w:tplc="DCF667C4">
      <w:start w:val="1"/>
      <w:numFmt w:val="bullet"/>
      <w:lvlText w:val="o"/>
      <w:lvlJc w:val="left"/>
      <w:pPr>
        <w:ind w:left="5760" w:hanging="360"/>
      </w:pPr>
      <w:rPr>
        <w:rFonts w:ascii="Courier New" w:hAnsi="Courier New" w:hint="default"/>
      </w:rPr>
    </w:lvl>
    <w:lvl w:ilvl="8" w:tplc="2C064F52">
      <w:start w:val="1"/>
      <w:numFmt w:val="bullet"/>
      <w:lvlText w:val=""/>
      <w:lvlJc w:val="left"/>
      <w:pPr>
        <w:ind w:left="6480" w:hanging="360"/>
      </w:pPr>
      <w:rPr>
        <w:rFonts w:ascii="Wingdings" w:hAnsi="Wingdings" w:hint="default"/>
      </w:rPr>
    </w:lvl>
  </w:abstractNum>
  <w:abstractNum w:abstractNumId="8" w15:restartNumberingAfterBreak="0">
    <w:nsid w:val="39AE63E1"/>
    <w:multiLevelType w:val="multilevel"/>
    <w:tmpl w:val="36AE0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1882B34"/>
    <w:multiLevelType w:val="multilevel"/>
    <w:tmpl w:val="A5A06A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904E6D"/>
    <w:multiLevelType w:val="hybridMultilevel"/>
    <w:tmpl w:val="68F645AE"/>
    <w:lvl w:ilvl="0" w:tplc="75EC84DE">
      <w:start w:val="1"/>
      <w:numFmt w:val="bullet"/>
      <w:lvlText w:val=""/>
      <w:lvlJc w:val="left"/>
      <w:pPr>
        <w:ind w:left="720" w:hanging="360"/>
      </w:pPr>
      <w:rPr>
        <w:rFonts w:ascii="Symbol" w:hAnsi="Symbol" w:hint="default"/>
      </w:rPr>
    </w:lvl>
    <w:lvl w:ilvl="1" w:tplc="B5B8F2EC">
      <w:start w:val="1"/>
      <w:numFmt w:val="bullet"/>
      <w:lvlText w:val="o"/>
      <w:lvlJc w:val="left"/>
      <w:pPr>
        <w:ind w:left="1440" w:hanging="360"/>
      </w:pPr>
      <w:rPr>
        <w:rFonts w:ascii="Courier New" w:hAnsi="Courier New" w:hint="default"/>
      </w:rPr>
    </w:lvl>
    <w:lvl w:ilvl="2" w:tplc="F57E9362">
      <w:start w:val="1"/>
      <w:numFmt w:val="bullet"/>
      <w:lvlText w:val=""/>
      <w:lvlJc w:val="left"/>
      <w:pPr>
        <w:ind w:left="2160" w:hanging="360"/>
      </w:pPr>
      <w:rPr>
        <w:rFonts w:ascii="Wingdings" w:hAnsi="Wingdings" w:hint="default"/>
      </w:rPr>
    </w:lvl>
    <w:lvl w:ilvl="3" w:tplc="C0C4AF08">
      <w:start w:val="1"/>
      <w:numFmt w:val="bullet"/>
      <w:lvlText w:val=""/>
      <w:lvlJc w:val="left"/>
      <w:pPr>
        <w:ind w:left="2880" w:hanging="360"/>
      </w:pPr>
      <w:rPr>
        <w:rFonts w:ascii="Symbol" w:hAnsi="Symbol" w:hint="default"/>
      </w:rPr>
    </w:lvl>
    <w:lvl w:ilvl="4" w:tplc="58AC48C0">
      <w:start w:val="1"/>
      <w:numFmt w:val="bullet"/>
      <w:lvlText w:val="o"/>
      <w:lvlJc w:val="left"/>
      <w:pPr>
        <w:ind w:left="3600" w:hanging="360"/>
      </w:pPr>
      <w:rPr>
        <w:rFonts w:ascii="Courier New" w:hAnsi="Courier New" w:hint="default"/>
      </w:rPr>
    </w:lvl>
    <w:lvl w:ilvl="5" w:tplc="4588FB8E">
      <w:start w:val="1"/>
      <w:numFmt w:val="bullet"/>
      <w:lvlText w:val=""/>
      <w:lvlJc w:val="left"/>
      <w:pPr>
        <w:ind w:left="4320" w:hanging="360"/>
      </w:pPr>
      <w:rPr>
        <w:rFonts w:ascii="Wingdings" w:hAnsi="Wingdings" w:hint="default"/>
      </w:rPr>
    </w:lvl>
    <w:lvl w:ilvl="6" w:tplc="1E227616">
      <w:start w:val="1"/>
      <w:numFmt w:val="bullet"/>
      <w:lvlText w:val=""/>
      <w:lvlJc w:val="left"/>
      <w:pPr>
        <w:ind w:left="5040" w:hanging="360"/>
      </w:pPr>
      <w:rPr>
        <w:rFonts w:ascii="Symbol" w:hAnsi="Symbol" w:hint="default"/>
      </w:rPr>
    </w:lvl>
    <w:lvl w:ilvl="7" w:tplc="BCD008FC">
      <w:start w:val="1"/>
      <w:numFmt w:val="bullet"/>
      <w:lvlText w:val="o"/>
      <w:lvlJc w:val="left"/>
      <w:pPr>
        <w:ind w:left="5760" w:hanging="360"/>
      </w:pPr>
      <w:rPr>
        <w:rFonts w:ascii="Courier New" w:hAnsi="Courier New" w:hint="default"/>
      </w:rPr>
    </w:lvl>
    <w:lvl w:ilvl="8" w:tplc="20A492D6">
      <w:start w:val="1"/>
      <w:numFmt w:val="bullet"/>
      <w:lvlText w:val=""/>
      <w:lvlJc w:val="left"/>
      <w:pPr>
        <w:ind w:left="6480" w:hanging="360"/>
      </w:pPr>
      <w:rPr>
        <w:rFonts w:ascii="Wingdings" w:hAnsi="Wingdings" w:hint="default"/>
      </w:rPr>
    </w:lvl>
  </w:abstractNum>
  <w:abstractNum w:abstractNumId="11" w15:restartNumberingAfterBreak="0">
    <w:nsid w:val="475C2FFB"/>
    <w:multiLevelType w:val="hybridMultilevel"/>
    <w:tmpl w:val="10562782"/>
    <w:lvl w:ilvl="0" w:tplc="F88487E6">
      <w:start w:val="1"/>
      <w:numFmt w:val="bullet"/>
      <w:lvlText w:val=""/>
      <w:lvlJc w:val="left"/>
      <w:pPr>
        <w:ind w:left="720" w:hanging="360"/>
      </w:pPr>
      <w:rPr>
        <w:rFonts w:ascii="Symbol" w:hAnsi="Symbol" w:hint="default"/>
      </w:rPr>
    </w:lvl>
    <w:lvl w:ilvl="1" w:tplc="E1C02AC4">
      <w:start w:val="1"/>
      <w:numFmt w:val="bullet"/>
      <w:lvlText w:val="o"/>
      <w:lvlJc w:val="left"/>
      <w:pPr>
        <w:ind w:left="1440" w:hanging="360"/>
      </w:pPr>
      <w:rPr>
        <w:rFonts w:ascii="Courier New" w:hAnsi="Courier New" w:hint="default"/>
      </w:rPr>
    </w:lvl>
    <w:lvl w:ilvl="2" w:tplc="15D27CFC">
      <w:start w:val="1"/>
      <w:numFmt w:val="bullet"/>
      <w:lvlText w:val=""/>
      <w:lvlJc w:val="left"/>
      <w:pPr>
        <w:ind w:left="2160" w:hanging="360"/>
      </w:pPr>
      <w:rPr>
        <w:rFonts w:ascii="Wingdings" w:hAnsi="Wingdings" w:hint="default"/>
      </w:rPr>
    </w:lvl>
    <w:lvl w:ilvl="3" w:tplc="5F9A3134">
      <w:start w:val="1"/>
      <w:numFmt w:val="bullet"/>
      <w:lvlText w:val=""/>
      <w:lvlJc w:val="left"/>
      <w:pPr>
        <w:ind w:left="2880" w:hanging="360"/>
      </w:pPr>
      <w:rPr>
        <w:rFonts w:ascii="Symbol" w:hAnsi="Symbol" w:hint="default"/>
      </w:rPr>
    </w:lvl>
    <w:lvl w:ilvl="4" w:tplc="1AAE083C">
      <w:start w:val="1"/>
      <w:numFmt w:val="bullet"/>
      <w:lvlText w:val="o"/>
      <w:lvlJc w:val="left"/>
      <w:pPr>
        <w:ind w:left="3600" w:hanging="360"/>
      </w:pPr>
      <w:rPr>
        <w:rFonts w:ascii="Courier New" w:hAnsi="Courier New" w:hint="default"/>
      </w:rPr>
    </w:lvl>
    <w:lvl w:ilvl="5" w:tplc="69902FEC">
      <w:start w:val="1"/>
      <w:numFmt w:val="bullet"/>
      <w:lvlText w:val=""/>
      <w:lvlJc w:val="left"/>
      <w:pPr>
        <w:ind w:left="4320" w:hanging="360"/>
      </w:pPr>
      <w:rPr>
        <w:rFonts w:ascii="Wingdings" w:hAnsi="Wingdings" w:hint="default"/>
      </w:rPr>
    </w:lvl>
    <w:lvl w:ilvl="6" w:tplc="BD40E4D6">
      <w:start w:val="1"/>
      <w:numFmt w:val="bullet"/>
      <w:lvlText w:val=""/>
      <w:lvlJc w:val="left"/>
      <w:pPr>
        <w:ind w:left="5040" w:hanging="360"/>
      </w:pPr>
      <w:rPr>
        <w:rFonts w:ascii="Symbol" w:hAnsi="Symbol" w:hint="default"/>
      </w:rPr>
    </w:lvl>
    <w:lvl w:ilvl="7" w:tplc="7B7E183A">
      <w:start w:val="1"/>
      <w:numFmt w:val="bullet"/>
      <w:lvlText w:val="o"/>
      <w:lvlJc w:val="left"/>
      <w:pPr>
        <w:ind w:left="5760" w:hanging="360"/>
      </w:pPr>
      <w:rPr>
        <w:rFonts w:ascii="Courier New" w:hAnsi="Courier New" w:hint="default"/>
      </w:rPr>
    </w:lvl>
    <w:lvl w:ilvl="8" w:tplc="AC6636B0">
      <w:start w:val="1"/>
      <w:numFmt w:val="bullet"/>
      <w:lvlText w:val=""/>
      <w:lvlJc w:val="left"/>
      <w:pPr>
        <w:ind w:left="6480" w:hanging="360"/>
      </w:pPr>
      <w:rPr>
        <w:rFonts w:ascii="Wingdings" w:hAnsi="Wingdings" w:hint="default"/>
      </w:rPr>
    </w:lvl>
  </w:abstractNum>
  <w:abstractNum w:abstractNumId="12" w15:restartNumberingAfterBreak="0">
    <w:nsid w:val="4F003CA9"/>
    <w:multiLevelType w:val="hybridMultilevel"/>
    <w:tmpl w:val="9DE85118"/>
    <w:lvl w:ilvl="0" w:tplc="8BC224B8">
      <w:start w:val="1"/>
      <w:numFmt w:val="bullet"/>
      <w:lvlText w:val=""/>
      <w:lvlJc w:val="left"/>
      <w:pPr>
        <w:ind w:left="720" w:hanging="360"/>
      </w:pPr>
      <w:rPr>
        <w:rFonts w:ascii="Symbol" w:hAnsi="Symbol" w:hint="default"/>
      </w:rPr>
    </w:lvl>
    <w:lvl w:ilvl="1" w:tplc="33E67EBA">
      <w:start w:val="1"/>
      <w:numFmt w:val="bullet"/>
      <w:lvlText w:val="o"/>
      <w:lvlJc w:val="left"/>
      <w:pPr>
        <w:ind w:left="1440" w:hanging="360"/>
      </w:pPr>
      <w:rPr>
        <w:rFonts w:ascii="Courier New" w:hAnsi="Courier New" w:hint="default"/>
      </w:rPr>
    </w:lvl>
    <w:lvl w:ilvl="2" w:tplc="44ACD432">
      <w:start w:val="1"/>
      <w:numFmt w:val="bullet"/>
      <w:lvlText w:val=""/>
      <w:lvlJc w:val="left"/>
      <w:pPr>
        <w:ind w:left="2160" w:hanging="360"/>
      </w:pPr>
      <w:rPr>
        <w:rFonts w:ascii="Wingdings" w:hAnsi="Wingdings" w:hint="default"/>
      </w:rPr>
    </w:lvl>
    <w:lvl w:ilvl="3" w:tplc="FFF852D6">
      <w:start w:val="1"/>
      <w:numFmt w:val="bullet"/>
      <w:lvlText w:val=""/>
      <w:lvlJc w:val="left"/>
      <w:pPr>
        <w:ind w:left="2880" w:hanging="360"/>
      </w:pPr>
      <w:rPr>
        <w:rFonts w:ascii="Symbol" w:hAnsi="Symbol" w:hint="default"/>
      </w:rPr>
    </w:lvl>
    <w:lvl w:ilvl="4" w:tplc="55D43546">
      <w:start w:val="1"/>
      <w:numFmt w:val="bullet"/>
      <w:lvlText w:val="o"/>
      <w:lvlJc w:val="left"/>
      <w:pPr>
        <w:ind w:left="3600" w:hanging="360"/>
      </w:pPr>
      <w:rPr>
        <w:rFonts w:ascii="Courier New" w:hAnsi="Courier New" w:hint="default"/>
      </w:rPr>
    </w:lvl>
    <w:lvl w:ilvl="5" w:tplc="40F0909C">
      <w:start w:val="1"/>
      <w:numFmt w:val="bullet"/>
      <w:lvlText w:val=""/>
      <w:lvlJc w:val="left"/>
      <w:pPr>
        <w:ind w:left="4320" w:hanging="360"/>
      </w:pPr>
      <w:rPr>
        <w:rFonts w:ascii="Wingdings" w:hAnsi="Wingdings" w:hint="default"/>
      </w:rPr>
    </w:lvl>
    <w:lvl w:ilvl="6" w:tplc="4D1ED156">
      <w:start w:val="1"/>
      <w:numFmt w:val="bullet"/>
      <w:lvlText w:val=""/>
      <w:lvlJc w:val="left"/>
      <w:pPr>
        <w:ind w:left="5040" w:hanging="360"/>
      </w:pPr>
      <w:rPr>
        <w:rFonts w:ascii="Symbol" w:hAnsi="Symbol" w:hint="default"/>
      </w:rPr>
    </w:lvl>
    <w:lvl w:ilvl="7" w:tplc="8ED629D6">
      <w:start w:val="1"/>
      <w:numFmt w:val="bullet"/>
      <w:lvlText w:val="o"/>
      <w:lvlJc w:val="left"/>
      <w:pPr>
        <w:ind w:left="5760" w:hanging="360"/>
      </w:pPr>
      <w:rPr>
        <w:rFonts w:ascii="Courier New" w:hAnsi="Courier New" w:hint="default"/>
      </w:rPr>
    </w:lvl>
    <w:lvl w:ilvl="8" w:tplc="4306D1D2">
      <w:start w:val="1"/>
      <w:numFmt w:val="bullet"/>
      <w:lvlText w:val=""/>
      <w:lvlJc w:val="left"/>
      <w:pPr>
        <w:ind w:left="6480" w:hanging="360"/>
      </w:pPr>
      <w:rPr>
        <w:rFonts w:ascii="Wingdings" w:hAnsi="Wingdings" w:hint="default"/>
      </w:rPr>
    </w:lvl>
  </w:abstractNum>
  <w:abstractNum w:abstractNumId="13" w15:restartNumberingAfterBreak="0">
    <w:nsid w:val="5032FB26"/>
    <w:multiLevelType w:val="hybridMultilevel"/>
    <w:tmpl w:val="94A2A0DE"/>
    <w:lvl w:ilvl="0" w:tplc="1702E92E">
      <w:start w:val="1"/>
      <w:numFmt w:val="bullet"/>
      <w:lvlText w:val="●"/>
      <w:lvlJc w:val="left"/>
      <w:pPr>
        <w:ind w:left="720" w:hanging="360"/>
      </w:pPr>
      <w:rPr>
        <w:rFonts w:ascii="Symbol" w:hAnsi="Symbol" w:hint="default"/>
      </w:rPr>
    </w:lvl>
    <w:lvl w:ilvl="1" w:tplc="51B862C6">
      <w:start w:val="1"/>
      <w:numFmt w:val="bullet"/>
      <w:lvlText w:val="o"/>
      <w:lvlJc w:val="left"/>
      <w:pPr>
        <w:ind w:left="1440" w:hanging="360"/>
      </w:pPr>
      <w:rPr>
        <w:rFonts w:ascii="Courier New" w:hAnsi="Courier New" w:hint="default"/>
      </w:rPr>
    </w:lvl>
    <w:lvl w:ilvl="2" w:tplc="D57CA612">
      <w:start w:val="1"/>
      <w:numFmt w:val="bullet"/>
      <w:lvlText w:val=""/>
      <w:lvlJc w:val="left"/>
      <w:pPr>
        <w:ind w:left="2160" w:hanging="360"/>
      </w:pPr>
      <w:rPr>
        <w:rFonts w:ascii="Wingdings" w:hAnsi="Wingdings" w:hint="default"/>
      </w:rPr>
    </w:lvl>
    <w:lvl w:ilvl="3" w:tplc="B148BE1A">
      <w:start w:val="1"/>
      <w:numFmt w:val="bullet"/>
      <w:lvlText w:val=""/>
      <w:lvlJc w:val="left"/>
      <w:pPr>
        <w:ind w:left="2880" w:hanging="360"/>
      </w:pPr>
      <w:rPr>
        <w:rFonts w:ascii="Symbol" w:hAnsi="Symbol" w:hint="default"/>
      </w:rPr>
    </w:lvl>
    <w:lvl w:ilvl="4" w:tplc="9686120C">
      <w:start w:val="1"/>
      <w:numFmt w:val="bullet"/>
      <w:lvlText w:val="o"/>
      <w:lvlJc w:val="left"/>
      <w:pPr>
        <w:ind w:left="3600" w:hanging="360"/>
      </w:pPr>
      <w:rPr>
        <w:rFonts w:ascii="Courier New" w:hAnsi="Courier New" w:hint="default"/>
      </w:rPr>
    </w:lvl>
    <w:lvl w:ilvl="5" w:tplc="B3B8372C">
      <w:start w:val="1"/>
      <w:numFmt w:val="bullet"/>
      <w:lvlText w:val=""/>
      <w:lvlJc w:val="left"/>
      <w:pPr>
        <w:ind w:left="4320" w:hanging="360"/>
      </w:pPr>
      <w:rPr>
        <w:rFonts w:ascii="Wingdings" w:hAnsi="Wingdings" w:hint="default"/>
      </w:rPr>
    </w:lvl>
    <w:lvl w:ilvl="6" w:tplc="05A26E88">
      <w:start w:val="1"/>
      <w:numFmt w:val="bullet"/>
      <w:lvlText w:val=""/>
      <w:lvlJc w:val="left"/>
      <w:pPr>
        <w:ind w:left="5040" w:hanging="360"/>
      </w:pPr>
      <w:rPr>
        <w:rFonts w:ascii="Symbol" w:hAnsi="Symbol" w:hint="default"/>
      </w:rPr>
    </w:lvl>
    <w:lvl w:ilvl="7" w:tplc="CA34CA52">
      <w:start w:val="1"/>
      <w:numFmt w:val="bullet"/>
      <w:lvlText w:val="o"/>
      <w:lvlJc w:val="left"/>
      <w:pPr>
        <w:ind w:left="5760" w:hanging="360"/>
      </w:pPr>
      <w:rPr>
        <w:rFonts w:ascii="Courier New" w:hAnsi="Courier New" w:hint="default"/>
      </w:rPr>
    </w:lvl>
    <w:lvl w:ilvl="8" w:tplc="41744E1A">
      <w:start w:val="1"/>
      <w:numFmt w:val="bullet"/>
      <w:lvlText w:val=""/>
      <w:lvlJc w:val="left"/>
      <w:pPr>
        <w:ind w:left="6480" w:hanging="360"/>
      </w:pPr>
      <w:rPr>
        <w:rFonts w:ascii="Wingdings" w:hAnsi="Wingdings" w:hint="default"/>
      </w:rPr>
    </w:lvl>
  </w:abstractNum>
  <w:abstractNum w:abstractNumId="14" w15:restartNumberingAfterBreak="0">
    <w:nsid w:val="50CEA49A"/>
    <w:multiLevelType w:val="multilevel"/>
    <w:tmpl w:val="705CEF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4B28C1"/>
    <w:multiLevelType w:val="hybridMultilevel"/>
    <w:tmpl w:val="0AC81A88"/>
    <w:lvl w:ilvl="0" w:tplc="12CA452E">
      <w:start w:val="1"/>
      <w:numFmt w:val="bullet"/>
      <w:lvlText w:val=""/>
      <w:lvlJc w:val="left"/>
      <w:pPr>
        <w:ind w:left="720" w:hanging="360"/>
      </w:pPr>
      <w:rPr>
        <w:rFonts w:ascii="Symbol" w:hAnsi="Symbol" w:hint="default"/>
      </w:rPr>
    </w:lvl>
    <w:lvl w:ilvl="1" w:tplc="448E6C7C">
      <w:start w:val="1"/>
      <w:numFmt w:val="bullet"/>
      <w:lvlText w:val="o"/>
      <w:lvlJc w:val="left"/>
      <w:pPr>
        <w:ind w:left="1440" w:hanging="360"/>
      </w:pPr>
      <w:rPr>
        <w:rFonts w:ascii="Courier New" w:hAnsi="Courier New" w:hint="default"/>
      </w:rPr>
    </w:lvl>
    <w:lvl w:ilvl="2" w:tplc="28C0AB72">
      <w:start w:val="1"/>
      <w:numFmt w:val="bullet"/>
      <w:lvlText w:val=""/>
      <w:lvlJc w:val="left"/>
      <w:pPr>
        <w:ind w:left="2160" w:hanging="360"/>
      </w:pPr>
      <w:rPr>
        <w:rFonts w:ascii="Wingdings" w:hAnsi="Wingdings" w:hint="default"/>
      </w:rPr>
    </w:lvl>
    <w:lvl w:ilvl="3" w:tplc="D168153E">
      <w:start w:val="1"/>
      <w:numFmt w:val="bullet"/>
      <w:lvlText w:val=""/>
      <w:lvlJc w:val="left"/>
      <w:pPr>
        <w:ind w:left="2880" w:hanging="360"/>
      </w:pPr>
      <w:rPr>
        <w:rFonts w:ascii="Symbol" w:hAnsi="Symbol" w:hint="default"/>
      </w:rPr>
    </w:lvl>
    <w:lvl w:ilvl="4" w:tplc="7250F018">
      <w:start w:val="1"/>
      <w:numFmt w:val="bullet"/>
      <w:lvlText w:val="o"/>
      <w:lvlJc w:val="left"/>
      <w:pPr>
        <w:ind w:left="3600" w:hanging="360"/>
      </w:pPr>
      <w:rPr>
        <w:rFonts w:ascii="Courier New" w:hAnsi="Courier New" w:hint="default"/>
      </w:rPr>
    </w:lvl>
    <w:lvl w:ilvl="5" w:tplc="61FC6BB8">
      <w:start w:val="1"/>
      <w:numFmt w:val="bullet"/>
      <w:lvlText w:val=""/>
      <w:lvlJc w:val="left"/>
      <w:pPr>
        <w:ind w:left="4320" w:hanging="360"/>
      </w:pPr>
      <w:rPr>
        <w:rFonts w:ascii="Wingdings" w:hAnsi="Wingdings" w:hint="default"/>
      </w:rPr>
    </w:lvl>
    <w:lvl w:ilvl="6" w:tplc="E05CB852">
      <w:start w:val="1"/>
      <w:numFmt w:val="bullet"/>
      <w:lvlText w:val=""/>
      <w:lvlJc w:val="left"/>
      <w:pPr>
        <w:ind w:left="5040" w:hanging="360"/>
      </w:pPr>
      <w:rPr>
        <w:rFonts w:ascii="Symbol" w:hAnsi="Symbol" w:hint="default"/>
      </w:rPr>
    </w:lvl>
    <w:lvl w:ilvl="7" w:tplc="BDC6D0B8">
      <w:start w:val="1"/>
      <w:numFmt w:val="bullet"/>
      <w:lvlText w:val="o"/>
      <w:lvlJc w:val="left"/>
      <w:pPr>
        <w:ind w:left="5760" w:hanging="360"/>
      </w:pPr>
      <w:rPr>
        <w:rFonts w:ascii="Courier New" w:hAnsi="Courier New" w:hint="default"/>
      </w:rPr>
    </w:lvl>
    <w:lvl w:ilvl="8" w:tplc="AC943E16">
      <w:start w:val="1"/>
      <w:numFmt w:val="bullet"/>
      <w:lvlText w:val=""/>
      <w:lvlJc w:val="left"/>
      <w:pPr>
        <w:ind w:left="6480" w:hanging="360"/>
      </w:pPr>
      <w:rPr>
        <w:rFonts w:ascii="Wingdings" w:hAnsi="Wingdings" w:hint="default"/>
      </w:rPr>
    </w:lvl>
  </w:abstractNum>
  <w:abstractNum w:abstractNumId="16" w15:restartNumberingAfterBreak="0">
    <w:nsid w:val="5D8CEB9F"/>
    <w:multiLevelType w:val="hybridMultilevel"/>
    <w:tmpl w:val="A7201836"/>
    <w:lvl w:ilvl="0" w:tplc="0DC8F62A">
      <w:start w:val="1"/>
      <w:numFmt w:val="bullet"/>
      <w:lvlText w:val=""/>
      <w:lvlJc w:val="left"/>
      <w:pPr>
        <w:ind w:left="720" w:hanging="360"/>
      </w:pPr>
      <w:rPr>
        <w:rFonts w:ascii="Symbol" w:hAnsi="Symbol" w:hint="default"/>
      </w:rPr>
    </w:lvl>
    <w:lvl w:ilvl="1" w:tplc="60BEC61E">
      <w:start w:val="1"/>
      <w:numFmt w:val="bullet"/>
      <w:lvlText w:val="o"/>
      <w:lvlJc w:val="left"/>
      <w:pPr>
        <w:ind w:left="1440" w:hanging="360"/>
      </w:pPr>
      <w:rPr>
        <w:rFonts w:ascii="Courier New" w:hAnsi="Courier New" w:hint="default"/>
      </w:rPr>
    </w:lvl>
    <w:lvl w:ilvl="2" w:tplc="1952A1F0">
      <w:start w:val="1"/>
      <w:numFmt w:val="bullet"/>
      <w:lvlText w:val=""/>
      <w:lvlJc w:val="left"/>
      <w:pPr>
        <w:ind w:left="2160" w:hanging="360"/>
      </w:pPr>
      <w:rPr>
        <w:rFonts w:ascii="Wingdings" w:hAnsi="Wingdings" w:hint="default"/>
      </w:rPr>
    </w:lvl>
    <w:lvl w:ilvl="3" w:tplc="09D20A88">
      <w:start w:val="1"/>
      <w:numFmt w:val="bullet"/>
      <w:lvlText w:val=""/>
      <w:lvlJc w:val="left"/>
      <w:pPr>
        <w:ind w:left="2880" w:hanging="360"/>
      </w:pPr>
      <w:rPr>
        <w:rFonts w:ascii="Symbol" w:hAnsi="Symbol" w:hint="default"/>
      </w:rPr>
    </w:lvl>
    <w:lvl w:ilvl="4" w:tplc="5F98E87C">
      <w:start w:val="1"/>
      <w:numFmt w:val="bullet"/>
      <w:lvlText w:val="o"/>
      <w:lvlJc w:val="left"/>
      <w:pPr>
        <w:ind w:left="3600" w:hanging="360"/>
      </w:pPr>
      <w:rPr>
        <w:rFonts w:ascii="Courier New" w:hAnsi="Courier New" w:hint="default"/>
      </w:rPr>
    </w:lvl>
    <w:lvl w:ilvl="5" w:tplc="93103F80">
      <w:start w:val="1"/>
      <w:numFmt w:val="bullet"/>
      <w:lvlText w:val=""/>
      <w:lvlJc w:val="left"/>
      <w:pPr>
        <w:ind w:left="4320" w:hanging="360"/>
      </w:pPr>
      <w:rPr>
        <w:rFonts w:ascii="Wingdings" w:hAnsi="Wingdings" w:hint="default"/>
      </w:rPr>
    </w:lvl>
    <w:lvl w:ilvl="6" w:tplc="8CEA931A">
      <w:start w:val="1"/>
      <w:numFmt w:val="bullet"/>
      <w:lvlText w:val=""/>
      <w:lvlJc w:val="left"/>
      <w:pPr>
        <w:ind w:left="5040" w:hanging="360"/>
      </w:pPr>
      <w:rPr>
        <w:rFonts w:ascii="Symbol" w:hAnsi="Symbol" w:hint="default"/>
      </w:rPr>
    </w:lvl>
    <w:lvl w:ilvl="7" w:tplc="DDAE126A">
      <w:start w:val="1"/>
      <w:numFmt w:val="bullet"/>
      <w:lvlText w:val="o"/>
      <w:lvlJc w:val="left"/>
      <w:pPr>
        <w:ind w:left="5760" w:hanging="360"/>
      </w:pPr>
      <w:rPr>
        <w:rFonts w:ascii="Courier New" w:hAnsi="Courier New" w:hint="default"/>
      </w:rPr>
    </w:lvl>
    <w:lvl w:ilvl="8" w:tplc="E56846EE">
      <w:start w:val="1"/>
      <w:numFmt w:val="bullet"/>
      <w:lvlText w:val=""/>
      <w:lvlJc w:val="left"/>
      <w:pPr>
        <w:ind w:left="6480" w:hanging="360"/>
      </w:pPr>
      <w:rPr>
        <w:rFonts w:ascii="Wingdings" w:hAnsi="Wingdings" w:hint="default"/>
      </w:rPr>
    </w:lvl>
  </w:abstractNum>
  <w:abstractNum w:abstractNumId="17" w15:restartNumberingAfterBreak="0">
    <w:nsid w:val="6305D40E"/>
    <w:multiLevelType w:val="hybridMultilevel"/>
    <w:tmpl w:val="F9165560"/>
    <w:lvl w:ilvl="0" w:tplc="AAF054FA">
      <w:start w:val="1"/>
      <w:numFmt w:val="bullet"/>
      <w:lvlText w:val="●"/>
      <w:lvlJc w:val="left"/>
      <w:pPr>
        <w:ind w:left="720" w:hanging="360"/>
      </w:pPr>
      <w:rPr>
        <w:rFonts w:ascii="Symbol" w:hAnsi="Symbol" w:hint="default"/>
      </w:rPr>
    </w:lvl>
    <w:lvl w:ilvl="1" w:tplc="58400294">
      <w:start w:val="1"/>
      <w:numFmt w:val="bullet"/>
      <w:lvlText w:val="o"/>
      <w:lvlJc w:val="left"/>
      <w:pPr>
        <w:ind w:left="1440" w:hanging="360"/>
      </w:pPr>
      <w:rPr>
        <w:rFonts w:ascii="Courier New" w:hAnsi="Courier New" w:hint="default"/>
      </w:rPr>
    </w:lvl>
    <w:lvl w:ilvl="2" w:tplc="36CEF06C">
      <w:start w:val="1"/>
      <w:numFmt w:val="bullet"/>
      <w:lvlText w:val=""/>
      <w:lvlJc w:val="left"/>
      <w:pPr>
        <w:ind w:left="2160" w:hanging="360"/>
      </w:pPr>
      <w:rPr>
        <w:rFonts w:ascii="Wingdings" w:hAnsi="Wingdings" w:hint="default"/>
      </w:rPr>
    </w:lvl>
    <w:lvl w:ilvl="3" w:tplc="FD1846EE">
      <w:start w:val="1"/>
      <w:numFmt w:val="bullet"/>
      <w:lvlText w:val=""/>
      <w:lvlJc w:val="left"/>
      <w:pPr>
        <w:ind w:left="2880" w:hanging="360"/>
      </w:pPr>
      <w:rPr>
        <w:rFonts w:ascii="Symbol" w:hAnsi="Symbol" w:hint="default"/>
      </w:rPr>
    </w:lvl>
    <w:lvl w:ilvl="4" w:tplc="9C3E92EA">
      <w:start w:val="1"/>
      <w:numFmt w:val="bullet"/>
      <w:lvlText w:val="o"/>
      <w:lvlJc w:val="left"/>
      <w:pPr>
        <w:ind w:left="3600" w:hanging="360"/>
      </w:pPr>
      <w:rPr>
        <w:rFonts w:ascii="Courier New" w:hAnsi="Courier New" w:hint="default"/>
      </w:rPr>
    </w:lvl>
    <w:lvl w:ilvl="5" w:tplc="C3701F62">
      <w:start w:val="1"/>
      <w:numFmt w:val="bullet"/>
      <w:lvlText w:val=""/>
      <w:lvlJc w:val="left"/>
      <w:pPr>
        <w:ind w:left="4320" w:hanging="360"/>
      </w:pPr>
      <w:rPr>
        <w:rFonts w:ascii="Wingdings" w:hAnsi="Wingdings" w:hint="default"/>
      </w:rPr>
    </w:lvl>
    <w:lvl w:ilvl="6" w:tplc="3B42AB2E">
      <w:start w:val="1"/>
      <w:numFmt w:val="bullet"/>
      <w:lvlText w:val=""/>
      <w:lvlJc w:val="left"/>
      <w:pPr>
        <w:ind w:left="5040" w:hanging="360"/>
      </w:pPr>
      <w:rPr>
        <w:rFonts w:ascii="Symbol" w:hAnsi="Symbol" w:hint="default"/>
      </w:rPr>
    </w:lvl>
    <w:lvl w:ilvl="7" w:tplc="7B8AE2FE">
      <w:start w:val="1"/>
      <w:numFmt w:val="bullet"/>
      <w:lvlText w:val="o"/>
      <w:lvlJc w:val="left"/>
      <w:pPr>
        <w:ind w:left="5760" w:hanging="360"/>
      </w:pPr>
      <w:rPr>
        <w:rFonts w:ascii="Courier New" w:hAnsi="Courier New" w:hint="default"/>
      </w:rPr>
    </w:lvl>
    <w:lvl w:ilvl="8" w:tplc="AEA0A2EE">
      <w:start w:val="1"/>
      <w:numFmt w:val="bullet"/>
      <w:lvlText w:val=""/>
      <w:lvlJc w:val="left"/>
      <w:pPr>
        <w:ind w:left="6480" w:hanging="360"/>
      </w:pPr>
      <w:rPr>
        <w:rFonts w:ascii="Wingdings" w:hAnsi="Wingdings" w:hint="default"/>
      </w:rPr>
    </w:lvl>
  </w:abstractNum>
  <w:abstractNum w:abstractNumId="18" w15:restartNumberingAfterBreak="0">
    <w:nsid w:val="6C666685"/>
    <w:multiLevelType w:val="hybridMultilevel"/>
    <w:tmpl w:val="56CC5D0E"/>
    <w:lvl w:ilvl="0" w:tplc="4650DD7A">
      <w:start w:val="1"/>
      <w:numFmt w:val="bullet"/>
      <w:lvlText w:val=""/>
      <w:lvlJc w:val="left"/>
      <w:pPr>
        <w:ind w:left="720" w:hanging="360"/>
      </w:pPr>
      <w:rPr>
        <w:rFonts w:ascii="Symbol" w:hAnsi="Symbol" w:hint="default"/>
      </w:rPr>
    </w:lvl>
    <w:lvl w:ilvl="1" w:tplc="38F0ABAC">
      <w:start w:val="1"/>
      <w:numFmt w:val="bullet"/>
      <w:lvlText w:val="o"/>
      <w:lvlJc w:val="left"/>
      <w:pPr>
        <w:ind w:left="1440" w:hanging="360"/>
      </w:pPr>
      <w:rPr>
        <w:rFonts w:ascii="Courier New" w:hAnsi="Courier New" w:hint="default"/>
      </w:rPr>
    </w:lvl>
    <w:lvl w:ilvl="2" w:tplc="7E5E77F2">
      <w:start w:val="1"/>
      <w:numFmt w:val="bullet"/>
      <w:lvlText w:val=""/>
      <w:lvlJc w:val="left"/>
      <w:pPr>
        <w:ind w:left="2160" w:hanging="360"/>
      </w:pPr>
      <w:rPr>
        <w:rFonts w:ascii="Wingdings" w:hAnsi="Wingdings" w:hint="default"/>
      </w:rPr>
    </w:lvl>
    <w:lvl w:ilvl="3" w:tplc="12408FB0">
      <w:start w:val="1"/>
      <w:numFmt w:val="bullet"/>
      <w:lvlText w:val=""/>
      <w:lvlJc w:val="left"/>
      <w:pPr>
        <w:ind w:left="2880" w:hanging="360"/>
      </w:pPr>
      <w:rPr>
        <w:rFonts w:ascii="Symbol" w:hAnsi="Symbol" w:hint="default"/>
      </w:rPr>
    </w:lvl>
    <w:lvl w:ilvl="4" w:tplc="F7B0AEBE">
      <w:start w:val="1"/>
      <w:numFmt w:val="bullet"/>
      <w:lvlText w:val="o"/>
      <w:lvlJc w:val="left"/>
      <w:pPr>
        <w:ind w:left="3600" w:hanging="360"/>
      </w:pPr>
      <w:rPr>
        <w:rFonts w:ascii="Courier New" w:hAnsi="Courier New" w:hint="default"/>
      </w:rPr>
    </w:lvl>
    <w:lvl w:ilvl="5" w:tplc="3A24028C">
      <w:start w:val="1"/>
      <w:numFmt w:val="bullet"/>
      <w:lvlText w:val=""/>
      <w:lvlJc w:val="left"/>
      <w:pPr>
        <w:ind w:left="4320" w:hanging="360"/>
      </w:pPr>
      <w:rPr>
        <w:rFonts w:ascii="Wingdings" w:hAnsi="Wingdings" w:hint="default"/>
      </w:rPr>
    </w:lvl>
    <w:lvl w:ilvl="6" w:tplc="30E294A0">
      <w:start w:val="1"/>
      <w:numFmt w:val="bullet"/>
      <w:lvlText w:val=""/>
      <w:lvlJc w:val="left"/>
      <w:pPr>
        <w:ind w:left="5040" w:hanging="360"/>
      </w:pPr>
      <w:rPr>
        <w:rFonts w:ascii="Symbol" w:hAnsi="Symbol" w:hint="default"/>
      </w:rPr>
    </w:lvl>
    <w:lvl w:ilvl="7" w:tplc="344E1AEC">
      <w:start w:val="1"/>
      <w:numFmt w:val="bullet"/>
      <w:lvlText w:val="o"/>
      <w:lvlJc w:val="left"/>
      <w:pPr>
        <w:ind w:left="5760" w:hanging="360"/>
      </w:pPr>
      <w:rPr>
        <w:rFonts w:ascii="Courier New" w:hAnsi="Courier New" w:hint="default"/>
      </w:rPr>
    </w:lvl>
    <w:lvl w:ilvl="8" w:tplc="2C4CC904">
      <w:start w:val="1"/>
      <w:numFmt w:val="bullet"/>
      <w:lvlText w:val=""/>
      <w:lvlJc w:val="left"/>
      <w:pPr>
        <w:ind w:left="6480" w:hanging="360"/>
      </w:pPr>
      <w:rPr>
        <w:rFonts w:ascii="Wingdings" w:hAnsi="Wingdings" w:hint="default"/>
      </w:rPr>
    </w:lvl>
  </w:abstractNum>
  <w:abstractNum w:abstractNumId="19" w15:restartNumberingAfterBreak="0">
    <w:nsid w:val="70257181"/>
    <w:multiLevelType w:val="multilevel"/>
    <w:tmpl w:val="96DC2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080CB82"/>
    <w:multiLevelType w:val="hybridMultilevel"/>
    <w:tmpl w:val="05ACF9E4"/>
    <w:lvl w:ilvl="0" w:tplc="69AC4B62">
      <w:start w:val="1"/>
      <w:numFmt w:val="bullet"/>
      <w:lvlText w:val=""/>
      <w:lvlJc w:val="left"/>
      <w:pPr>
        <w:ind w:left="720" w:hanging="360"/>
      </w:pPr>
      <w:rPr>
        <w:rFonts w:ascii="Symbol" w:hAnsi="Symbol" w:hint="default"/>
      </w:rPr>
    </w:lvl>
    <w:lvl w:ilvl="1" w:tplc="6EBC8826">
      <w:start w:val="1"/>
      <w:numFmt w:val="bullet"/>
      <w:lvlText w:val="o"/>
      <w:lvlJc w:val="left"/>
      <w:pPr>
        <w:ind w:left="1440" w:hanging="360"/>
      </w:pPr>
      <w:rPr>
        <w:rFonts w:ascii="Courier New" w:hAnsi="Courier New" w:hint="default"/>
      </w:rPr>
    </w:lvl>
    <w:lvl w:ilvl="2" w:tplc="B9EC37A8">
      <w:start w:val="1"/>
      <w:numFmt w:val="bullet"/>
      <w:lvlText w:val=""/>
      <w:lvlJc w:val="left"/>
      <w:pPr>
        <w:ind w:left="2160" w:hanging="360"/>
      </w:pPr>
      <w:rPr>
        <w:rFonts w:ascii="Wingdings" w:hAnsi="Wingdings" w:hint="default"/>
      </w:rPr>
    </w:lvl>
    <w:lvl w:ilvl="3" w:tplc="839A1C9C">
      <w:start w:val="1"/>
      <w:numFmt w:val="bullet"/>
      <w:lvlText w:val=""/>
      <w:lvlJc w:val="left"/>
      <w:pPr>
        <w:ind w:left="2880" w:hanging="360"/>
      </w:pPr>
      <w:rPr>
        <w:rFonts w:ascii="Symbol" w:hAnsi="Symbol" w:hint="default"/>
      </w:rPr>
    </w:lvl>
    <w:lvl w:ilvl="4" w:tplc="D7D221B2">
      <w:start w:val="1"/>
      <w:numFmt w:val="bullet"/>
      <w:lvlText w:val="o"/>
      <w:lvlJc w:val="left"/>
      <w:pPr>
        <w:ind w:left="3600" w:hanging="360"/>
      </w:pPr>
      <w:rPr>
        <w:rFonts w:ascii="Courier New" w:hAnsi="Courier New" w:hint="default"/>
      </w:rPr>
    </w:lvl>
    <w:lvl w:ilvl="5" w:tplc="FFFAD35C">
      <w:start w:val="1"/>
      <w:numFmt w:val="bullet"/>
      <w:lvlText w:val=""/>
      <w:lvlJc w:val="left"/>
      <w:pPr>
        <w:ind w:left="4320" w:hanging="360"/>
      </w:pPr>
      <w:rPr>
        <w:rFonts w:ascii="Wingdings" w:hAnsi="Wingdings" w:hint="default"/>
      </w:rPr>
    </w:lvl>
    <w:lvl w:ilvl="6" w:tplc="235E2C3C">
      <w:start w:val="1"/>
      <w:numFmt w:val="bullet"/>
      <w:lvlText w:val=""/>
      <w:lvlJc w:val="left"/>
      <w:pPr>
        <w:ind w:left="5040" w:hanging="360"/>
      </w:pPr>
      <w:rPr>
        <w:rFonts w:ascii="Symbol" w:hAnsi="Symbol" w:hint="default"/>
      </w:rPr>
    </w:lvl>
    <w:lvl w:ilvl="7" w:tplc="45D0CCAE">
      <w:start w:val="1"/>
      <w:numFmt w:val="bullet"/>
      <w:lvlText w:val="o"/>
      <w:lvlJc w:val="left"/>
      <w:pPr>
        <w:ind w:left="5760" w:hanging="360"/>
      </w:pPr>
      <w:rPr>
        <w:rFonts w:ascii="Courier New" w:hAnsi="Courier New" w:hint="default"/>
      </w:rPr>
    </w:lvl>
    <w:lvl w:ilvl="8" w:tplc="ABF6A40A">
      <w:start w:val="1"/>
      <w:numFmt w:val="bullet"/>
      <w:lvlText w:val=""/>
      <w:lvlJc w:val="left"/>
      <w:pPr>
        <w:ind w:left="6480" w:hanging="360"/>
      </w:pPr>
      <w:rPr>
        <w:rFonts w:ascii="Wingdings" w:hAnsi="Wingdings" w:hint="default"/>
      </w:rPr>
    </w:lvl>
  </w:abstractNum>
  <w:abstractNum w:abstractNumId="21" w15:restartNumberingAfterBreak="0">
    <w:nsid w:val="7372AB7B"/>
    <w:multiLevelType w:val="hybridMultilevel"/>
    <w:tmpl w:val="83B64BB2"/>
    <w:lvl w:ilvl="0" w:tplc="82F8E388">
      <w:start w:val="1"/>
      <w:numFmt w:val="bullet"/>
      <w:lvlText w:val=""/>
      <w:lvlJc w:val="left"/>
      <w:pPr>
        <w:ind w:left="720" w:hanging="360"/>
      </w:pPr>
      <w:rPr>
        <w:rFonts w:ascii="Symbol" w:hAnsi="Symbol" w:hint="default"/>
      </w:rPr>
    </w:lvl>
    <w:lvl w:ilvl="1" w:tplc="81EA5208">
      <w:start w:val="1"/>
      <w:numFmt w:val="bullet"/>
      <w:lvlText w:val="o"/>
      <w:lvlJc w:val="left"/>
      <w:pPr>
        <w:ind w:left="1440" w:hanging="360"/>
      </w:pPr>
      <w:rPr>
        <w:rFonts w:ascii="Courier New" w:hAnsi="Courier New" w:hint="default"/>
      </w:rPr>
    </w:lvl>
    <w:lvl w:ilvl="2" w:tplc="96EEA88E">
      <w:start w:val="1"/>
      <w:numFmt w:val="bullet"/>
      <w:lvlText w:val=""/>
      <w:lvlJc w:val="left"/>
      <w:pPr>
        <w:ind w:left="2160" w:hanging="360"/>
      </w:pPr>
      <w:rPr>
        <w:rFonts w:ascii="Wingdings" w:hAnsi="Wingdings" w:hint="default"/>
      </w:rPr>
    </w:lvl>
    <w:lvl w:ilvl="3" w:tplc="D98C7EC2">
      <w:start w:val="1"/>
      <w:numFmt w:val="bullet"/>
      <w:lvlText w:val=""/>
      <w:lvlJc w:val="left"/>
      <w:pPr>
        <w:ind w:left="2880" w:hanging="360"/>
      </w:pPr>
      <w:rPr>
        <w:rFonts w:ascii="Symbol" w:hAnsi="Symbol" w:hint="default"/>
      </w:rPr>
    </w:lvl>
    <w:lvl w:ilvl="4" w:tplc="7CCAEAC4">
      <w:start w:val="1"/>
      <w:numFmt w:val="bullet"/>
      <w:lvlText w:val="o"/>
      <w:lvlJc w:val="left"/>
      <w:pPr>
        <w:ind w:left="3600" w:hanging="360"/>
      </w:pPr>
      <w:rPr>
        <w:rFonts w:ascii="Courier New" w:hAnsi="Courier New" w:hint="default"/>
      </w:rPr>
    </w:lvl>
    <w:lvl w:ilvl="5" w:tplc="1E98F62E">
      <w:start w:val="1"/>
      <w:numFmt w:val="bullet"/>
      <w:lvlText w:val=""/>
      <w:lvlJc w:val="left"/>
      <w:pPr>
        <w:ind w:left="4320" w:hanging="360"/>
      </w:pPr>
      <w:rPr>
        <w:rFonts w:ascii="Wingdings" w:hAnsi="Wingdings" w:hint="default"/>
      </w:rPr>
    </w:lvl>
    <w:lvl w:ilvl="6" w:tplc="08E20184">
      <w:start w:val="1"/>
      <w:numFmt w:val="bullet"/>
      <w:lvlText w:val=""/>
      <w:lvlJc w:val="left"/>
      <w:pPr>
        <w:ind w:left="5040" w:hanging="360"/>
      </w:pPr>
      <w:rPr>
        <w:rFonts w:ascii="Symbol" w:hAnsi="Symbol" w:hint="default"/>
      </w:rPr>
    </w:lvl>
    <w:lvl w:ilvl="7" w:tplc="71322F94">
      <w:start w:val="1"/>
      <w:numFmt w:val="bullet"/>
      <w:lvlText w:val="o"/>
      <w:lvlJc w:val="left"/>
      <w:pPr>
        <w:ind w:left="5760" w:hanging="360"/>
      </w:pPr>
      <w:rPr>
        <w:rFonts w:ascii="Courier New" w:hAnsi="Courier New" w:hint="default"/>
      </w:rPr>
    </w:lvl>
    <w:lvl w:ilvl="8" w:tplc="8CC60014">
      <w:start w:val="1"/>
      <w:numFmt w:val="bullet"/>
      <w:lvlText w:val=""/>
      <w:lvlJc w:val="left"/>
      <w:pPr>
        <w:ind w:left="6480" w:hanging="360"/>
      </w:pPr>
      <w:rPr>
        <w:rFonts w:ascii="Wingdings" w:hAnsi="Wingdings" w:hint="default"/>
      </w:rPr>
    </w:lvl>
  </w:abstractNum>
  <w:abstractNum w:abstractNumId="22" w15:restartNumberingAfterBreak="0">
    <w:nsid w:val="7BF3DDBF"/>
    <w:multiLevelType w:val="hybridMultilevel"/>
    <w:tmpl w:val="936880E0"/>
    <w:lvl w:ilvl="0" w:tplc="81EA4F38">
      <w:start w:val="1"/>
      <w:numFmt w:val="bullet"/>
      <w:lvlText w:val="●"/>
      <w:lvlJc w:val="left"/>
      <w:pPr>
        <w:ind w:left="720" w:hanging="360"/>
      </w:pPr>
      <w:rPr>
        <w:rFonts w:ascii="Symbol" w:hAnsi="Symbol" w:hint="default"/>
      </w:rPr>
    </w:lvl>
    <w:lvl w:ilvl="1" w:tplc="A95A6E58">
      <w:start w:val="1"/>
      <w:numFmt w:val="bullet"/>
      <w:lvlText w:val="o"/>
      <w:lvlJc w:val="left"/>
      <w:pPr>
        <w:ind w:left="1440" w:hanging="360"/>
      </w:pPr>
      <w:rPr>
        <w:rFonts w:ascii="Courier New" w:hAnsi="Courier New" w:hint="default"/>
      </w:rPr>
    </w:lvl>
    <w:lvl w:ilvl="2" w:tplc="99FA901A">
      <w:start w:val="1"/>
      <w:numFmt w:val="bullet"/>
      <w:lvlText w:val=""/>
      <w:lvlJc w:val="left"/>
      <w:pPr>
        <w:ind w:left="2160" w:hanging="360"/>
      </w:pPr>
      <w:rPr>
        <w:rFonts w:ascii="Wingdings" w:hAnsi="Wingdings" w:hint="default"/>
      </w:rPr>
    </w:lvl>
    <w:lvl w:ilvl="3" w:tplc="9710AE70">
      <w:start w:val="1"/>
      <w:numFmt w:val="bullet"/>
      <w:lvlText w:val=""/>
      <w:lvlJc w:val="left"/>
      <w:pPr>
        <w:ind w:left="2880" w:hanging="360"/>
      </w:pPr>
      <w:rPr>
        <w:rFonts w:ascii="Symbol" w:hAnsi="Symbol" w:hint="default"/>
      </w:rPr>
    </w:lvl>
    <w:lvl w:ilvl="4" w:tplc="73AE7D94">
      <w:start w:val="1"/>
      <w:numFmt w:val="bullet"/>
      <w:lvlText w:val="o"/>
      <w:lvlJc w:val="left"/>
      <w:pPr>
        <w:ind w:left="3600" w:hanging="360"/>
      </w:pPr>
      <w:rPr>
        <w:rFonts w:ascii="Courier New" w:hAnsi="Courier New" w:hint="default"/>
      </w:rPr>
    </w:lvl>
    <w:lvl w:ilvl="5" w:tplc="11568D76">
      <w:start w:val="1"/>
      <w:numFmt w:val="bullet"/>
      <w:lvlText w:val=""/>
      <w:lvlJc w:val="left"/>
      <w:pPr>
        <w:ind w:left="4320" w:hanging="360"/>
      </w:pPr>
      <w:rPr>
        <w:rFonts w:ascii="Wingdings" w:hAnsi="Wingdings" w:hint="default"/>
      </w:rPr>
    </w:lvl>
    <w:lvl w:ilvl="6" w:tplc="756C48EC">
      <w:start w:val="1"/>
      <w:numFmt w:val="bullet"/>
      <w:lvlText w:val=""/>
      <w:lvlJc w:val="left"/>
      <w:pPr>
        <w:ind w:left="5040" w:hanging="360"/>
      </w:pPr>
      <w:rPr>
        <w:rFonts w:ascii="Symbol" w:hAnsi="Symbol" w:hint="default"/>
      </w:rPr>
    </w:lvl>
    <w:lvl w:ilvl="7" w:tplc="107E0E20">
      <w:start w:val="1"/>
      <w:numFmt w:val="bullet"/>
      <w:lvlText w:val="o"/>
      <w:lvlJc w:val="left"/>
      <w:pPr>
        <w:ind w:left="5760" w:hanging="360"/>
      </w:pPr>
      <w:rPr>
        <w:rFonts w:ascii="Courier New" w:hAnsi="Courier New" w:hint="default"/>
      </w:rPr>
    </w:lvl>
    <w:lvl w:ilvl="8" w:tplc="20B65A8E">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8"/>
  </w:num>
  <w:num w:numId="5">
    <w:abstractNumId w:val="4"/>
  </w:num>
  <w:num w:numId="6">
    <w:abstractNumId w:val="11"/>
  </w:num>
  <w:num w:numId="7">
    <w:abstractNumId w:val="21"/>
  </w:num>
  <w:num w:numId="8">
    <w:abstractNumId w:val="7"/>
  </w:num>
  <w:num w:numId="9">
    <w:abstractNumId w:val="10"/>
  </w:num>
  <w:num w:numId="10">
    <w:abstractNumId w:val="16"/>
  </w:num>
  <w:num w:numId="11">
    <w:abstractNumId w:val="0"/>
  </w:num>
  <w:num w:numId="12">
    <w:abstractNumId w:val="17"/>
  </w:num>
  <w:num w:numId="13">
    <w:abstractNumId w:val="1"/>
  </w:num>
  <w:num w:numId="14">
    <w:abstractNumId w:val="22"/>
  </w:num>
  <w:num w:numId="15">
    <w:abstractNumId w:val="13"/>
  </w:num>
  <w:num w:numId="16">
    <w:abstractNumId w:val="9"/>
  </w:num>
  <w:num w:numId="17">
    <w:abstractNumId w:val="19"/>
  </w:num>
  <w:num w:numId="18">
    <w:abstractNumId w:val="6"/>
  </w:num>
  <w:num w:numId="19">
    <w:abstractNumId w:val="18"/>
  </w:num>
  <w:num w:numId="20">
    <w:abstractNumId w:val="2"/>
  </w:num>
  <w:num w:numId="21">
    <w:abstractNumId w:val="5"/>
  </w:num>
  <w:num w:numId="22">
    <w:abstractNumId w:val="1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06"/>
    <w:rsid w:val="000B09BB"/>
    <w:rsid w:val="002F6506"/>
    <w:rsid w:val="006B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702FE-2D9F-4691-883E-253019FF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506"/>
    <w:pPr>
      <w:keepNext/>
      <w:keepLines/>
      <w:spacing w:before="160" w:after="80"/>
      <w:outlineLvl w:val="2"/>
    </w:pPr>
    <w:rPr>
      <w:rFonts w:eastAsiaTheme="majorEastAsia" w:cstheme="majorBidi"/>
      <w:color w:val="2E74B5" w:themeColor="accent1" w:themeShade="BF"/>
      <w:kern w:val="2"/>
      <w:sz w:val="28"/>
      <w:szCs w:val="28"/>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F6506"/>
    <w:rPr>
      <w:rFonts w:eastAsiaTheme="majorEastAsia" w:cstheme="majorBidi"/>
      <w:color w:val="2E74B5" w:themeColor="accent1" w:themeShade="BF"/>
      <w:kern w:val="2"/>
      <w:sz w:val="28"/>
      <w:szCs w:val="28"/>
      <w:lang w:val="en-GB"/>
      <w14:ligatures w14:val="standardContextual"/>
    </w:rPr>
  </w:style>
  <w:style w:type="paragraph" w:styleId="ListParagraph">
    <w:name w:val="List Paragraph"/>
    <w:basedOn w:val="Normal"/>
    <w:uiPriority w:val="34"/>
    <w:qFormat/>
    <w:rsid w:val="002F6506"/>
    <w:pPr>
      <w:ind w:left="720"/>
      <w:contextualSpacing/>
    </w:pPr>
    <w:rPr>
      <w:kern w:val="2"/>
      <w:lang w:val="en-GB"/>
      <w14:ligatures w14:val="standardContextual"/>
    </w:rPr>
  </w:style>
  <w:style w:type="table" w:styleId="TableGrid">
    <w:name w:val="Table Grid"/>
    <w:basedOn w:val="TableNormal"/>
    <w:uiPriority w:val="39"/>
    <w:rsid w:val="002F650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F9FF113B-11EF-4FD1-9759-FE728B1011A9}"/>
</file>

<file path=customXml/itemProps2.xml><?xml version="1.0" encoding="utf-8"?>
<ds:datastoreItem xmlns:ds="http://schemas.openxmlformats.org/officeDocument/2006/customXml" ds:itemID="{C83B3831-876C-4B30-976F-AF7AB8F4904D}"/>
</file>

<file path=customXml/itemProps3.xml><?xml version="1.0" encoding="utf-8"?>
<ds:datastoreItem xmlns:ds="http://schemas.openxmlformats.org/officeDocument/2006/customXml" ds:itemID="{ADF7737F-A758-4FA0-AA12-9718DF163340}"/>
</file>

<file path=docProps/app.xml><?xml version="1.0" encoding="utf-8"?>
<Properties xmlns="http://schemas.openxmlformats.org/officeDocument/2006/extended-properties" xmlns:vt="http://schemas.openxmlformats.org/officeDocument/2006/docPropsVTypes">
  <Template>Normal</Template>
  <TotalTime>1</TotalTime>
  <Pages>19</Pages>
  <Words>7132</Words>
  <Characters>40657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Bekezela Gumbo</dc:creator>
  <cp:keywords>, docId:00AC594F2A3EA84CB7C2DA586649CA07</cp:keywords>
  <dc:description/>
  <cp:lastModifiedBy>Bekezela Gumbo</cp:lastModifiedBy>
  <cp:revision>1</cp:revision>
  <dcterms:created xsi:type="dcterms:W3CDTF">2025-09-18T13:42:00Z</dcterms:created>
  <dcterms:modified xsi:type="dcterms:W3CDTF">2025-09-18T13:43:00Z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ies>
</file>