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EC25EF" w:rsidR="002F6506" w:rsidP="002F6506" w:rsidRDefault="002F6506">
      <w:pPr>
        <w:pStyle w:val="Heading3"/>
        <w:rPr>
          <w:b/>
          <w:bCs/>
        </w:rPr>
      </w:pPr>
      <w:bookmarkStart w:name="_Toc404851628" w:id="0"/>
      <w:r w:rsidRPr="582F23E0">
        <w:t xml:space="preserve">Questions-clés pour la table ronde</w:t>
      </w:r>
      <w:bookmarkStart w:name="_GoBack" w:id="1"/>
      <w:bookmarkEnd w:id="0"/>
      <w:bookmarkEnd w:id="1"/>
    </w:p>
    <w:p w:rsidR="002F6506" w:rsidP="002F6506" w:rsidRDefault="002F6506"/>
    <w:p w:rsidR="002F6506" w:rsidP="002F6506" w:rsidRDefault="002F6506">
      <w:pPr>
        <w:pStyle w:val="ListParagraph"/>
        <w:numPr>
          <w:ilvl w:val="0"/>
          <w:numId w:val="23"/>
        </w:numPr>
        <w:spacing w:after="0"/>
        <w:rPr>
          <w:rFonts w:ascii="Arial" w:hAnsi="Arial" w:eastAsia="Arial" w:cs="Arial"/>
        </w:rPr>
      </w:pPr>
      <w:r w:rsidRPr="6B082B04">
        <w:rPr>
          <w:rFonts w:ascii="Arial" w:hAnsi="Arial" w:eastAsia="Arial" w:cs="Arial"/>
        </w:rPr>
        <w:t xml:space="preserve">Ces questions </w:t>
      </w:r>
      <w:r w:rsidRPr="6B082B04">
        <w:rPr>
          <w:rFonts w:ascii="Arial" w:hAnsi="Arial" w:eastAsia="Arial" w:cs="Arial"/>
          <w:b/>
          <w:bCs/>
        </w:rPr>
        <w:t xml:space="preserve">orientent </w:t>
      </w:r>
      <w:r w:rsidRPr="6B082B04">
        <w:rPr>
          <w:rFonts w:ascii="Arial" w:hAnsi="Arial" w:eastAsia="Arial" w:cs="Arial"/>
        </w:rPr>
        <w:t xml:space="preserve">la discussion, mais il n’est pas nécessaire d’y répondre de manière exhaustive.</w:t>
      </w:r>
    </w:p>
    <w:p w:rsidR="002F6506" w:rsidP="002F6506" w:rsidRDefault="002F6506">
      <w:pPr>
        <w:pStyle w:val="ListParagraph"/>
        <w:numPr>
          <w:ilvl w:val="0"/>
          <w:numId w:val="23"/>
        </w:numPr>
        <w:spacing w:after="0"/>
        <w:rPr>
          <w:rFonts w:ascii="Arial" w:hAnsi="Arial" w:eastAsia="Arial" w:cs="Arial"/>
          <w:b/>
          <w:bCs/>
        </w:rPr>
      </w:pPr>
      <w:r w:rsidRPr="732BBE29">
        <w:rPr>
          <w:rFonts w:ascii="Arial" w:hAnsi="Arial" w:eastAsia="Arial" w:cs="Arial"/>
          <w:b/>
          <w:bCs/>
        </w:rPr>
        <w:t xml:space="preserve">Les fiches d’évaluation </w:t>
      </w:r>
      <w:r w:rsidRPr="732BBE29">
        <w:rPr>
          <w:rFonts w:ascii="Arial" w:hAnsi="Arial" w:eastAsia="Arial" w:cs="Arial"/>
        </w:rPr>
        <w:t xml:space="preserve">sont fournies à titre </w:t>
      </w:r>
      <w:r w:rsidRPr="732BBE29">
        <w:rPr>
          <w:rFonts w:ascii="Arial" w:hAnsi="Arial" w:eastAsia="Arial" w:cs="Arial"/>
          <w:b/>
          <w:bCs/>
        </w:rPr>
        <w:t xml:space="preserve">indicatif </w:t>
      </w:r>
      <w:r w:rsidRPr="732BBE29">
        <w:rPr>
          <w:rFonts w:ascii="Arial" w:hAnsi="Arial" w:eastAsia="Arial" w:cs="Arial"/>
        </w:rPr>
        <w:t xml:space="preserve">: elles aident à déterminer les notes, mais aucune définition </w:t>
      </w:r>
      <w:r w:rsidRPr="732BBE29">
        <w:rPr>
          <w:rFonts w:ascii="Arial" w:hAnsi="Arial" w:eastAsia="Arial" w:cs="Arial"/>
          <w:b/>
          <w:bCs/>
        </w:rPr>
        <w:t xml:space="preserve">ne correspondra parfaitement </w:t>
      </w:r>
      <w:r w:rsidRPr="732BBE29">
        <w:rPr>
          <w:rFonts w:ascii="Arial" w:hAnsi="Arial" w:eastAsia="Arial" w:cs="Arial"/>
        </w:rPr>
        <w:t xml:space="preserve">au contexte spécifique d’un pays. Utilisez-les comme </w:t>
      </w:r>
      <w:r w:rsidRPr="732BBE29">
        <w:rPr>
          <w:rFonts w:ascii="Arial" w:hAnsi="Arial" w:eastAsia="Arial" w:cs="Arial"/>
          <w:b/>
          <w:bCs/>
        </w:rPr>
        <w:t xml:space="preserve">point de référence.</w:t>
      </w:r>
    </w:p>
    <w:p w:rsidR="002F6506" w:rsidP="002F6506" w:rsidRDefault="002F6506"/>
    <w:p w:rsidR="002F6506" w:rsidP="002F6506" w:rsidRDefault="002F6506">
      <w:pPr>
        <w:spacing w:after="200" w:line="288" w:lineRule="auto"/>
        <w:rPr>
          <w:rFonts w:ascii="Arial" w:hAnsi="Arial" w:eastAsia="Arial" w:cs="Arial"/>
          <w:color w:val="2E74B5" w:themeColor="accent1" w:themeShade="BF"/>
        </w:rPr>
      </w:pPr>
      <w:r w:rsidRPr="59EE174B">
        <w:rPr>
          <w:rFonts w:ascii="Arial" w:hAnsi="Arial" w:eastAsia="Arial" w:cs="Arial"/>
          <w:b/>
          <w:bCs/>
          <w:color w:val="2E74B5" w:themeColor="accent1" w:themeShade="BF"/>
          <w:lang w:val="en-GB"/>
        </w:rPr>
        <w:t xml:space="preserve">Questions d'orientation pour le principe 2 : </w:t>
      </w:r>
      <w:r w:rsidRPr="59EE174B">
        <w:rPr>
          <w:rFonts w:ascii="Arial" w:hAnsi="Arial" w:eastAsia="Arial" w:cs="Arial"/>
          <w:color w:val="2E74B5" w:themeColor="accent1" w:themeShade="BF"/>
          <w:lang w:val="en-GB"/>
        </w:rPr>
        <w:t xml:space="preserve">Cadre juridique et réglementaire favorable à la liberté d'association</w:t>
      </w:r>
    </w:p>
    <w:tbl>
      <w:tblPr>
        <w:tblStyle w:val="TableGrid"/>
        <w:tblW w:w="9071" w:type="dxa"/>
        <w:tblLayout w:type="fixed"/>
        <w:tblLook w:val="06a0"/>
      </w:tblPr>
      <w:tblGrid>
        <w:gridCol w:w="9071"/>
      </w:tblGrid>
      <w:tr w:rsidR="002F6506" w:rsidTr="006B5817">
        <w:trPr>
          <w:trHeight w:val="2175"/>
        </w:trPr>
        <w:tc>
          <w:tcPr>
            <w:tcW w:w="9071" w:type="dxa"/>
            <w:vAlign w:val="center"/>
          </w:tcPr>
          <w:p w:rsidR="002F6506" w:rsidP="006B5817" w:rsidRDefault="002F6506">
            <w:pPr>
              <w:spacing w:line="288" w:lineRule="auto"/>
              <w:rPr>
                <w:rFonts w:ascii="Arial" w:hAnsi="Arial" w:eastAsia="Arial" w:cs="Arial"/>
                <w:sz w:val="12"/>
                <w:szCs w:val="12"/>
              </w:rPr>
            </w:pPr>
            <w:r w:rsidRPr="59EE174B">
              <w:rPr>
                <w:rFonts w:ascii="Segoe UI Emoji" w:hAnsi="Segoe UI Emoji" w:eastAsia="Segoe UI Emoji" w:cs="Segoe UI Emoji"/>
              </w:rPr>
              <w:t xml:space="preserve">❕ </w:t>
            </w:r>
            <w:r w:rsidRPr="59EE174B">
              <w:rPr>
                <w:rFonts w:ascii="Arial" w:hAnsi="Arial" w:eastAsia="Arial" w:cs="Arial"/>
              </w:rPr>
              <w:t xml:space="preserve">Le principe 2 se concentre uniquement sur ce qui est légalement autorisé ou restreint, plutôt que sur la manière dont l'association est respectée et protégée dans la pratique, ce qui est abordé dans le principe 1, ou sur l'accès au financement dans la pratique, couvert par le principe 3. </w:t>
            </w:r>
            <w:r>
              <w:br/>
            </w:r>
          </w:p>
          <w:p w:rsidR="002F6506" w:rsidP="006B5817" w:rsidRDefault="002F6506">
            <w:pPr>
              <w:spacing w:line="288" w:lineRule="auto"/>
              <w:rPr>
                <w:rFonts w:ascii="Arial" w:hAnsi="Arial" w:eastAsia="Arial" w:cs="Arial"/>
                <w:color w:val="000000" w:themeColor="text1"/>
              </w:rPr>
            </w:pPr>
            <w:r w:rsidRPr="437F2A18">
              <w:rPr>
                <w:rFonts w:ascii="Segoe UI Emoji" w:hAnsi="Segoe UI Emoji" w:eastAsia="Segoe UI Emoji" w:cs="Segoe UI Emoji"/>
              </w:rPr>
              <w:t xml:space="preserve">❕ </w:t>
            </w:r>
            <w:r w:rsidRPr="437F2A18">
              <w:rPr>
                <w:rFonts w:ascii="Arial" w:hAnsi="Arial" w:eastAsia="Arial" w:cs="Arial"/>
              </w:rPr>
              <w:t xml:space="preserve">Compte tenu de cette orientation juridique et de l’existence de multiples cadres juridiques pour différents types d’acteurs de la société civile, le champ d’application est limité aux OSC formelles et structurées opérant au sein de la société civile, à savoir les ONG et les organisations similaires.</w:t>
            </w:r>
          </w:p>
        </w:tc>
      </w:tr>
    </w:tbl>
    <w:p w:rsidR="002F6506" w:rsidP="002F6506" w:rsidRDefault="002F6506">
      <w:pPr>
        <w:spacing w:after="200" w:line="288" w:lineRule="auto"/>
        <w:rPr>
          <w:rFonts w:ascii="Arial" w:hAnsi="Arial" w:eastAsia="Arial" w:cs="Arial"/>
          <w:b/>
          <w:bCs/>
        </w:rPr>
      </w:pPr>
      <w:r>
        <w:br/>
      </w:r>
      <w:r w:rsidRPr="51D9F959">
        <w:rPr>
          <w:rFonts w:ascii="Arial" w:hAnsi="Arial" w:eastAsia="Arial" w:cs="Arial"/>
          <w:b/>
          <w:bCs/>
          <w:lang w:val="en-GB"/>
        </w:rPr>
        <w:t xml:space="preserve">2.1 | Enregistrement </w:t>
      </w:r>
    </w:p>
    <w:p w:rsidR="002F6506" w:rsidP="002F6506" w:rsidRDefault="002F6506">
      <w:pPr>
        <w:spacing w:after="200" w:line="288" w:lineRule="auto"/>
        <w:rPr>
          <w:rFonts w:ascii="Arial" w:hAnsi="Arial" w:eastAsia="Arial" w:cs="Arial"/>
        </w:rPr>
      </w:pPr>
      <w:r w:rsidRPr="59EE174B">
        <w:rPr>
          <w:rFonts w:ascii="Arial" w:hAnsi="Arial" w:eastAsia="Arial" w:cs="Arial"/>
          <w:lang w:val="en-GB"/>
        </w:rPr>
        <w:t xml:space="preserve">Questions :</w:t>
      </w:r>
    </w:p>
    <w:p w:rsidR="002F6506" w:rsidP="002F6506" w:rsidRDefault="002F6506">
      <w:pPr>
        <w:pStyle w:val="ListParagraph"/>
        <w:numPr>
          <w:ilvl w:val="0"/>
          <w:numId w:val="22"/>
        </w:numPr>
        <w:spacing w:after="0" w:line="288" w:lineRule="auto"/>
        <w:rPr>
          <w:rFonts w:ascii="Arial" w:hAnsi="Arial" w:eastAsia="Arial" w:cs="Arial"/>
          <w:color w:val="000000" w:themeColor="text1"/>
        </w:rPr>
      </w:pPr>
      <w:r w:rsidRPr="6B082B04">
        <w:rPr>
          <w:rFonts w:ascii="Arial" w:hAnsi="Arial" w:eastAsia="Arial" w:cs="Arial"/>
          <w:color w:val="000000" w:themeColor="text1"/>
        </w:rPr>
        <w:t xml:space="preserve">Dans quelle mesure le cadre juridique permet-il à toute personne ou entité, y compris les groupes marginalisés, de créer une organisation ? Existe-t-il des obstacles juridiques ou administratifs qui rendent l'enregistrement plus difficile pour certains groupes ?</w:t>
      </w:r>
    </w:p>
    <w:p w:rsidR="002F6506" w:rsidP="002F6506" w:rsidRDefault="002F6506">
      <w:pPr>
        <w:pStyle w:val="ListParagraph"/>
        <w:numPr>
          <w:ilvl w:val="0"/>
          <w:numId w:val="22"/>
        </w:numPr>
        <w:spacing w:after="0" w:line="288" w:lineRule="auto"/>
        <w:rPr>
          <w:rFonts w:ascii="Arial" w:hAnsi="Arial" w:eastAsia="Arial" w:cs="Arial"/>
          <w:color w:val="000000" w:themeColor="text1"/>
        </w:rPr>
      </w:pPr>
      <w:r w:rsidRPr="6B082B04">
        <w:rPr>
          <w:rFonts w:ascii="Arial" w:hAnsi="Arial" w:eastAsia="Arial" w:cs="Arial"/>
          <w:color w:val="000000" w:themeColor="text1"/>
        </w:rPr>
        <w:t xml:space="preserve">Dans quelle mesure les procédures juridiques d'enregistrement d'une OSC sont-elles claires, accessibles et abordables ? Les OSC se heurtent-elles à des obstacles bureaucratiques ou financiers qui les dissuadent de s'enregistrer ?</w:t>
      </w:r>
    </w:p>
    <w:p w:rsidR="002F6506" w:rsidP="002F6506" w:rsidRDefault="002F6506">
      <w:pPr>
        <w:pStyle w:val="ListParagraph"/>
        <w:numPr>
          <w:ilvl w:val="0"/>
          <w:numId w:val="22"/>
        </w:numPr>
        <w:spacing w:after="0" w:line="288" w:lineRule="auto"/>
        <w:rPr>
          <w:rFonts w:ascii="Arial" w:hAnsi="Arial" w:eastAsia="Arial" w:cs="Arial"/>
          <w:color w:val="000000" w:themeColor="text1"/>
        </w:rPr>
      </w:pPr>
      <w:r w:rsidRPr="59EE174B">
        <w:rPr>
          <w:rFonts w:ascii="Arial" w:hAnsi="Arial" w:eastAsia="Arial" w:cs="Arial"/>
          <w:color w:val="000000" w:themeColor="text1"/>
        </w:rPr>
        <w:t xml:space="preserve">Si l'enregistrement d'une OSC est refusé, existe-t-il des mécanismes de recours ? Dans quelle mesure la procédure de recours est-elle transparente et efficace ?</w:t>
      </w:r>
    </w:p>
    <w:p w:rsidR="002F6506" w:rsidP="002F6506" w:rsidRDefault="002F6506">
      <w:pPr>
        <w:pStyle w:val="ListParagraph"/>
        <w:spacing w:after="0" w:line="288" w:lineRule="auto"/>
        <w:rPr>
          <w:rFonts w:ascii="Arial" w:hAnsi="Arial" w:eastAsia="Arial" w:cs="Arial"/>
          <w:color w:val="000000" w:themeColor="text1"/>
        </w:rPr>
      </w:pPr>
    </w:p>
    <w:p w:rsidR="002F6506" w:rsidP="002F6506" w:rsidRDefault="002F6506">
      <w:pPr>
        <w:spacing w:after="200" w:line="288" w:lineRule="auto"/>
        <w:rPr>
          <w:rFonts w:ascii="Arial" w:hAnsi="Arial" w:eastAsia="Arial" w:cs="Arial"/>
          <w:b/>
          <w:bCs/>
        </w:rPr>
      </w:pPr>
      <w:r w:rsidRPr="732BBE29">
        <w:rPr>
          <w:rFonts w:ascii="Arial" w:hAnsi="Arial" w:eastAsia="Arial" w:cs="Arial"/>
          <w:b/>
          <w:bCs/>
          <w:lang w:val="en-GB"/>
        </w:rPr>
        <w:t xml:space="preserve">Grille d'évaluation</w:t>
      </w:r>
    </w:p>
    <w:tbl>
      <w:tblPr>
        <w:tblW w:w="0" w:type="auto"/>
        <w:tblBorders>
          <w:top w:val="single" w:color="auto" w:sz="6" w:space="0"/>
          <w:left w:val="single" w:color="auto" w:sz="6" w:space="0"/>
          <w:bottom w:val="single" w:color="auto" w:sz="6" w:space="0"/>
          <w:right w:val="single" w:color="auto" w:sz="6" w:space="0"/>
        </w:tblBorders>
        <w:tblLayout w:type="fixed"/>
        <w:tblLook w:val="04a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color w:val="000000" w:themeColor="text1"/>
              </w:rPr>
            </w:pPr>
            <w:r w:rsidRPr="59EE174B">
              <w:rPr>
                <w:rFonts w:ascii="Arial" w:hAnsi="Arial" w:eastAsia="Arial" w:cs="Arial"/>
                <w:b/>
                <w:bCs/>
                <w:color w:val="000000" w:themeColor="text1"/>
                <w:lang w:val="en-GB"/>
              </w:rPr>
              <w:t xml:space="preserve">Entièrement dissuasif (1)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color w:val="000000" w:themeColor="text1"/>
              </w:rPr>
            </w:pPr>
            <w:r w:rsidRPr="59EE174B">
              <w:rPr>
                <w:rFonts w:ascii="Arial" w:hAnsi="Arial" w:eastAsia="Arial" w:cs="Arial"/>
                <w:color w:val="000000" w:themeColor="text1"/>
                <w:lang w:val="en-GB"/>
              </w:rPr>
              <w:t xml:space="preserve">Le cadre juridique empêche de fait la création d’OSC, soit en les interdisant purement et simplement, soit en imposant des exigences excessivement restrictives ou irréalisables. Les OSC ne peuvent être autorisées à s’enregistrer que si elles s’alignent sur les intérêts du gouvernement. Les procédures d’enregistrement sont extrêmement complexes. Les recours contre les refus d’enregistrement sont découragés ou inexistants, et les décisions négatives sont courantes sans justification.</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color w:val="000000" w:themeColor="text1"/>
              </w:rPr>
            </w:pPr>
            <w:r w:rsidRPr="59EE174B">
              <w:rPr>
                <w:rFonts w:ascii="Arial" w:hAnsi="Arial" w:eastAsia="Arial" w:cs="Arial"/>
                <w:b/>
                <w:bCs/>
                <w:color w:val="000000" w:themeColor="text1"/>
                <w:lang w:val="en-GB"/>
              </w:rPr>
              <w:t xml:space="preserve">Inhibant (2)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color w:val="000000" w:themeColor="text1"/>
              </w:rPr>
            </w:pPr>
            <w:r w:rsidRPr="59EE174B">
              <w:rPr>
                <w:rFonts w:ascii="Arial" w:hAnsi="Arial" w:eastAsia="Arial" w:cs="Arial"/>
                <w:color w:val="000000" w:themeColor="text1"/>
                <w:lang w:val="en-GB"/>
              </w:rPr>
              <w:t xml:space="preserve">Le cadre juridique autorise la création d’OSC mais impose des obstacles importants. L’enregistrement est flou, très bureaucratique,</w:t>
            </w:r>
            <w:r w:rsidRPr="59EE174B">
              <w:rPr>
                <w:rFonts w:ascii="Arial" w:hAnsi="Arial" w:eastAsia="Arial" w:cs="Arial"/>
                <w:color w:val="000000" w:themeColor="text1"/>
                <w:lang w:val="en-GB"/>
              </w:rPr>
              <w:lastRenderedPageBreak/>
            </w:r>
            <w:r w:rsidRPr="59EE174B">
              <w:rPr>
                <w:rFonts w:ascii="Arial" w:hAnsi="Arial" w:eastAsia="Arial" w:cs="Arial"/>
                <w:color w:val="000000" w:themeColor="text1"/>
                <w:lang w:val="en-GB"/>
              </w:rPr>
              <w:t xml:space="preserve"> coûteux ou nécessite l’approbation de l’État, qui peut être refusée de manière arbitraire. La procédure de recours est théoriquement disponible mais aboutit rarement.</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color w:val="000000" w:themeColor="text1"/>
              </w:rPr>
            </w:pPr>
            <w:r w:rsidRPr="59EE174B">
              <w:rPr>
                <w:rFonts w:ascii="Arial" w:hAnsi="Arial" w:eastAsia="Arial" w:cs="Arial"/>
                <w:b/>
                <w:bCs/>
                <w:color w:val="000000" w:themeColor="text1"/>
                <w:lang w:val="en-GB"/>
              </w:rPr>
              <w:lastRenderedPageBreak/>
            </w:r>
            <w:r w:rsidRPr="59EE174B">
              <w:rPr>
                <w:rFonts w:ascii="Arial" w:hAnsi="Arial" w:eastAsia="Arial" w:cs="Arial"/>
                <w:b/>
                <w:bCs/>
                <w:color w:val="000000" w:themeColor="text1"/>
                <w:lang w:val="en-GB"/>
              </w:rPr>
              <w:t xml:space="preserve">Partiellement favorable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color w:val="000000" w:themeColor="text1"/>
              </w:rPr>
            </w:pPr>
            <w:r w:rsidRPr="59EE174B">
              <w:rPr>
                <w:rFonts w:ascii="Arial" w:hAnsi="Arial" w:eastAsia="Arial" w:cs="Arial"/>
                <w:color w:val="000000" w:themeColor="text1"/>
                <w:lang w:val="en-GB"/>
              </w:rPr>
              <w:t xml:space="preserve">Certains groupes (par exemple, ceux qui travaillent sur des questions politiquement sensibles ou les groupes marginalisés) sont confrontés à des obstacles juridiques supplémentaires ou à une surveillance accrue. La procédure d'enregistrement est assez claire, mais la bureaucratie et les coûts rendent l'enregistrement difficile, les exigences documentaires complexes ou les frais élevés décourageant l'enregistrement. Des mécanismes de recours existent mais sont lents, incohérents ou aboutissent rarement à des résultats positifs.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color w:val="000000" w:themeColor="text1"/>
              </w:rPr>
            </w:pPr>
            <w:r w:rsidRPr="59EE174B">
              <w:rPr>
                <w:rFonts w:ascii="Arial" w:hAnsi="Arial" w:eastAsia="Arial" w:cs="Arial"/>
                <w:b/>
                <w:bCs/>
                <w:color w:val="000000" w:themeColor="text1"/>
                <w:lang w:val="en-GB"/>
              </w:rPr>
              <w:t xml:space="preserve">Favorable (4)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color w:val="000000" w:themeColor="text1"/>
              </w:rPr>
            </w:pPr>
            <w:r w:rsidRPr="59EE174B">
              <w:rPr>
                <w:rFonts w:ascii="Arial" w:hAnsi="Arial" w:eastAsia="Arial" w:cs="Arial"/>
                <w:color w:val="000000" w:themeColor="text1"/>
                <w:lang w:val="en-GB"/>
              </w:rPr>
              <w:t xml:space="preserve">La plupart des groupes peuvent s'enregistrer, mais certains groupes marginalisés se heurtent à des obstacles administratifs, tels que des autorisations supplémentaires ou des retards procéduraux. L'enregistrement est généralement accessible et abordable, bien que certaines inefficacités bureaucratiques puissent entraîner des retards. Les procédures d'enregistrement sont claires, abordables et généralement menées à bien dans un délai raisonnable. La procédure d'appel est accessible et généralement équitable. </w:t>
            </w:r>
          </w:p>
        </w:tc>
      </w:tr>
      <w:tr w:rsidR="002F6506" w:rsidTr="006B5817">
        <w:trPr>
          <w:trHeight w:val="156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color w:val="000000" w:themeColor="text1"/>
              </w:rPr>
            </w:pPr>
            <w:r w:rsidRPr="59EE174B">
              <w:rPr>
                <w:rFonts w:ascii="Arial" w:hAnsi="Arial" w:eastAsia="Arial" w:cs="Arial"/>
                <w:b/>
                <w:bCs/>
                <w:color w:val="000000" w:themeColor="text1"/>
                <w:lang w:val="en-GB"/>
              </w:rPr>
              <w:t xml:space="preserve">Entièrement favorable (5)</w:t>
            </w:r>
            <w:r w:rsidRPr="59EE174B">
              <w:rPr>
                <w:rFonts w:ascii="Arial" w:hAnsi="Arial" w:eastAsia="Arial" w:cs="Arial"/>
                <w:color w:val="000000" w:themeColor="text1"/>
                <w:lang w:val="en-GB"/>
              </w:rPr>
              <w:t xml:space="preserve"> </w:t>
            </w:r>
            <w:r>
              <w:br/>
            </w:r>
            <w:r w:rsidRPr="59EE174B">
              <w:rPr>
                <w:rFonts w:ascii="Arial" w:hAnsi="Arial" w:eastAsia="Arial" w:cs="Arial"/>
                <w:color w:val="000000" w:themeColor="text1"/>
                <w:lang w:val="en-GB"/>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color w:val="000000" w:themeColor="text1"/>
              </w:rPr>
            </w:pPr>
            <w:r w:rsidRPr="59EE174B">
              <w:rPr>
                <w:rFonts w:ascii="Arial" w:hAnsi="Arial" w:eastAsia="Arial" w:cs="Arial"/>
                <w:color w:val="000000" w:themeColor="text1"/>
                <w:lang w:val="en-GB"/>
              </w:rPr>
              <w:t xml:space="preserve">La loi permet à tout individu ou groupe, y compris les groupes politiquement sensibles et les communautés marginalisées, d'enregistrer une OSC sans discrimination. Les procédures d'enregistrement sont claires, simples et abordables. Les décisions négatives sont rares, et la procédure d'appel est efficace, équitable et rapide.  </w:t>
            </w:r>
          </w:p>
        </w:tc>
      </w:tr>
    </w:tbl>
    <w:p w:rsidR="002F6506" w:rsidP="002F6506" w:rsidRDefault="002F6506">
      <w:pPr>
        <w:spacing w:after="200" w:line="288" w:lineRule="auto"/>
        <w:rPr>
          <w:rFonts w:ascii="Arial" w:hAnsi="Arial" w:eastAsia="Arial" w:cs="Arial"/>
          <w:color w:val="000000" w:themeColor="text1"/>
        </w:rPr>
      </w:pPr>
      <w:r w:rsidRPr="59EE174B">
        <w:rPr>
          <w:rFonts w:ascii="Arial" w:hAnsi="Arial" w:eastAsia="Arial" w:cs="Arial"/>
          <w:color w:val="000000" w:themeColor="text1"/>
          <w:lang w:val="en-GB"/>
        </w:rPr>
        <w:t xml:space="preserve"> </w:t>
      </w:r>
    </w:p>
    <w:p w:rsidR="002F6506" w:rsidP="002F6506" w:rsidRDefault="002F6506">
      <w:pPr>
        <w:spacing w:after="200" w:line="288" w:lineRule="auto"/>
        <w:rPr>
          <w:rFonts w:ascii="Arial" w:hAnsi="Arial" w:eastAsia="Arial" w:cs="Arial"/>
          <w:b/>
          <w:bCs/>
        </w:rPr>
      </w:pPr>
      <w:r w:rsidRPr="59EE174B">
        <w:rPr>
          <w:rFonts w:eastAsiaTheme="minorEastAsia"/>
          <w:b/>
          <w:bCs/>
          <w:lang w:val="en-GB"/>
        </w:rPr>
        <w:t xml:space="preserve">2.2 | Environnement opérationnel</w:t>
      </w:r>
    </w:p>
    <w:p w:rsidR="002F6506" w:rsidP="002F6506" w:rsidRDefault="002F6506">
      <w:pPr>
        <w:spacing w:after="200" w:line="288" w:lineRule="auto"/>
        <w:rPr>
          <w:rFonts w:ascii="Arial" w:hAnsi="Arial" w:eastAsia="Arial" w:cs="Arial"/>
        </w:rPr>
      </w:pPr>
      <w:r w:rsidRPr="59EE174B">
        <w:rPr>
          <w:rFonts w:ascii="Arial" w:hAnsi="Arial" w:eastAsia="Arial" w:cs="Arial"/>
          <w:lang w:val="en-GB"/>
        </w:rPr>
        <w:t xml:space="preserve">Questions :</w:t>
      </w:r>
    </w:p>
    <w:p w:rsidR="002F6506" w:rsidP="002F6506" w:rsidRDefault="002F6506">
      <w:pPr>
        <w:pStyle w:val="ListParagraph"/>
        <w:numPr>
          <w:ilvl w:val="0"/>
          <w:numId w:val="21"/>
        </w:numPr>
        <w:spacing w:after="0" w:line="288" w:lineRule="auto"/>
        <w:rPr>
          <w:rFonts w:ascii="Arial" w:hAnsi="Arial" w:eastAsia="Arial" w:cs="Arial"/>
          <w:color w:val="000000" w:themeColor="text1"/>
        </w:rPr>
      </w:pPr>
      <w:r w:rsidRPr="59EE174B">
        <w:rPr>
          <w:rFonts w:ascii="Arial" w:hAnsi="Arial" w:eastAsia="Arial" w:cs="Arial"/>
          <w:color w:val="000000" w:themeColor="text1"/>
        </w:rPr>
        <w:t xml:space="preserve">Le cadre juridique permet-il aux OSC de déterminer leur gouvernance interne, leurs objectifs et leurs activités sans l'approbation ou l'ingérence du gouvernement ? Les OSC sont-elles tenues d'obtenir des autorisations ou des agréments préalables pour certaines opérations ou activités ?</w:t>
      </w:r>
    </w:p>
    <w:p w:rsidR="002F6506" w:rsidP="002F6506" w:rsidRDefault="002F6506">
      <w:pPr>
        <w:pStyle w:val="ListParagraph"/>
        <w:numPr>
          <w:ilvl w:val="0"/>
          <w:numId w:val="21"/>
        </w:numPr>
        <w:spacing w:after="0" w:line="288" w:lineRule="auto"/>
        <w:rPr>
          <w:rFonts w:ascii="Arial" w:hAnsi="Arial" w:eastAsia="Arial" w:cs="Arial"/>
          <w:color w:val="000000" w:themeColor="text1"/>
        </w:rPr>
      </w:pPr>
      <w:r w:rsidRPr="59EE174B">
        <w:rPr>
          <w:rFonts w:ascii="Arial" w:hAnsi="Arial" w:eastAsia="Arial" w:cs="Arial"/>
          <w:color w:val="000000" w:themeColor="text1"/>
        </w:rPr>
        <w:t xml:space="preserve">Dans quelle mesure les OSC sont-elles soumises à un contrôle administratif ? Les obligations de déclaration créent-elles des obstacles inutiles à leurs activités ?</w:t>
      </w:r>
    </w:p>
    <w:p w:rsidR="002F6506" w:rsidP="002F6506" w:rsidRDefault="002F6506">
      <w:pPr>
        <w:pStyle w:val="ListParagraph"/>
        <w:numPr>
          <w:ilvl w:val="0"/>
          <w:numId w:val="21"/>
        </w:numPr>
        <w:spacing w:after="0" w:line="288" w:lineRule="auto"/>
        <w:rPr>
          <w:rFonts w:ascii="Arial" w:hAnsi="Arial" w:eastAsia="Arial" w:cs="Arial"/>
          <w:color w:val="000000" w:themeColor="text1"/>
        </w:rPr>
      </w:pPr>
      <w:r w:rsidRPr="59EE174B">
        <w:rPr>
          <w:rFonts w:ascii="Arial" w:hAnsi="Arial" w:eastAsia="Arial" w:cs="Arial"/>
          <w:color w:val="000000" w:themeColor="text1"/>
        </w:rPr>
        <w:t xml:space="preserve">Comment le cadre juridique réglemente-t-il l'accès au financement pour les OSC ? Existe-t-il des restrictions concernant l'obtention de financements nationaux et internationaux qui pourraient limiter leur capacité à fonctionner ?</w:t>
      </w:r>
    </w:p>
    <w:p w:rsidR="002F6506" w:rsidP="002F6506" w:rsidRDefault="002F6506">
      <w:pPr>
        <w:spacing w:after="0" w:line="288" w:lineRule="auto"/>
        <w:ind w:start="720"/>
        <w:rPr>
          <w:rFonts w:ascii="Arial" w:hAnsi="Arial" w:eastAsia="Arial" w:cs="Arial"/>
          <w:color w:val="000000" w:themeColor="text1"/>
        </w:rPr>
      </w:pPr>
    </w:p>
    <w:p w:rsidR="002F6506" w:rsidP="002F6506" w:rsidRDefault="002F6506">
      <w:pPr>
        <w:spacing w:after="200" w:line="288" w:lineRule="auto"/>
        <w:rPr>
          <w:rFonts w:ascii="Arial" w:hAnsi="Arial" w:eastAsia="Arial" w:cs="Arial"/>
          <w:b/>
          <w:bCs/>
        </w:rPr>
      </w:pPr>
      <w:r w:rsidRPr="732BBE29">
        <w:rPr>
          <w:rFonts w:ascii="Arial" w:hAnsi="Arial" w:eastAsia="Arial" w:cs="Arial"/>
          <w:b/>
          <w:bCs/>
          <w:lang w:val="en-GB"/>
        </w:rPr>
        <w:t xml:space="preserve">Grille d'évaluation</w:t>
      </w:r>
    </w:p>
    <w:tbl>
      <w:tblPr>
        <w:tblW w:w="0" w:type="auto"/>
        <w:tblBorders>
          <w:top w:val="single" w:color="auto" w:sz="6" w:space="0"/>
          <w:left w:val="single" w:color="auto" w:sz="6" w:space="0"/>
          <w:bottom w:val="single" w:color="auto" w:sz="6" w:space="0"/>
          <w:right w:val="single" w:color="auto" w:sz="6" w:space="0"/>
        </w:tblBorders>
        <w:tblLayout w:type="fixed"/>
        <w:tblLook w:val="04a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rPr>
            </w:pPr>
            <w:r w:rsidRPr="59EE174B">
              <w:rPr>
                <w:rFonts w:ascii="Arial" w:hAnsi="Arial" w:eastAsia="Arial" w:cs="Arial"/>
                <w:b/>
                <w:bCs/>
                <w:lang w:val="en-GB"/>
              </w:rPr>
              <w:t xml:space="preserve">Entièrement restrictif (1)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rPr>
            </w:pPr>
            <w:r w:rsidRPr="59EE174B">
              <w:rPr>
                <w:rFonts w:ascii="Arial" w:hAnsi="Arial" w:eastAsia="Arial" w:cs="Arial"/>
                <w:lang w:val="en-GB"/>
              </w:rPr>
              <w:lastRenderedPageBreak/>
            </w:r>
            <w:r w:rsidRPr="59EE174B">
              <w:rPr>
                <w:rFonts w:ascii="Arial" w:hAnsi="Arial" w:eastAsia="Arial" w:cs="Arial"/>
                <w:lang w:val="en-GB"/>
              </w:rPr>
              <w:t xml:space="preserve">Les lois et réglementations restreignent sévèrement la capacité des OSC à définir leurs propres objectifs ou à mener des activités légitimes. Les OSC doivent souvent obtenir une autorisation pour leurs activités et sont soumises à des restrictions arbitraires. Les OSC sont confrontées à </w:t>
            </w:r>
            <w:r w:rsidRPr="59EE174B">
              <w:rPr>
                <w:rFonts w:ascii="Arial" w:hAnsi="Arial" w:eastAsia="Arial" w:cs="Arial"/>
                <w:lang w:val="en-GB"/>
              </w:rPr>
              <w:t xml:space="preserve">des exigences de déclaration excessives et floues ainsi qu’à des obstacles bureaucratiques. Il existe des restrictions importantes concernant l’obtention de financements nationaux et internationaux, ce qui entrave gravement la capacité des OSC à fonctionner.</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rPr>
            </w:pPr>
            <w:r w:rsidRPr="59EE174B">
              <w:rPr>
                <w:rFonts w:ascii="Arial" w:hAnsi="Arial" w:eastAsia="Arial" w:cs="Arial"/>
                <w:b/>
                <w:bCs/>
                <w:lang w:val="en-GB"/>
              </w:rPr>
              <w:lastRenderedPageBreak/>
            </w:r>
            <w:r w:rsidRPr="59EE174B">
              <w:rPr>
                <w:rFonts w:ascii="Arial" w:hAnsi="Arial" w:eastAsia="Arial" w:cs="Arial"/>
                <w:b/>
                <w:bCs/>
                <w:lang w:val="en-GB"/>
              </w:rPr>
              <w:t xml:space="preserve">Invalidant (2)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rPr>
            </w:pPr>
            <w:r w:rsidRPr="59EE174B">
              <w:rPr>
                <w:rFonts w:ascii="Arial" w:hAnsi="Arial" w:eastAsia="Arial" w:cs="Arial"/>
                <w:lang w:val="en-GB"/>
              </w:rPr>
              <w:t xml:space="preserve">Les lois imposent des limitations substantielles à la capacité des OSC à fixer leurs objectifs et à mener leurs activités. Les OSC doivent souvent obtenir une autorisation préalable pour certaines activités ou s’exposent à des sanctions en cas de non-respect. L’État exerce une surveillance bureaucratique importante qui retarde ou entrave les activités des OSC. Il existe des restrictions en matière de financement qui limitent la capacité des OSC à accéder à des ressources financières nationales et internationales, en particulier celles provenant de sources pouvant être considérées comme politiquement ou idéologiquement sensibles. </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rPr>
            </w:pPr>
            <w:r w:rsidRPr="59EE174B">
              <w:rPr>
                <w:rFonts w:ascii="Arial" w:hAnsi="Arial" w:eastAsia="Arial" w:cs="Arial"/>
                <w:b/>
                <w:bCs/>
                <w:lang w:val="en-GB"/>
              </w:rPr>
              <w:t xml:space="preserve">Partiellement favorable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rPr>
            </w:pPr>
            <w:r w:rsidRPr="59EE174B">
              <w:rPr>
                <w:rFonts w:ascii="Arial" w:hAnsi="Arial" w:eastAsia="Arial" w:cs="Arial"/>
                <w:lang w:val="en-GB"/>
              </w:rPr>
              <w:t xml:space="preserve">Les lois permettent aux OSC de fixer des objectifs et de mener des activités, mais avec certaines limitations. Les OSC peuvent être tenues de respecter des exigences réglementaires, ce qui peut créer des obstacles occasionnels, mais elles peuvent généralement fonctionner avec une relative facilité. L'accès au financement national et international est possible, bien que certaines restrictions puissent s'appliquer.</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rPr>
            </w:pPr>
            <w:r w:rsidRPr="59EE174B">
              <w:rPr>
                <w:rFonts w:ascii="Arial" w:hAnsi="Arial" w:eastAsia="Arial" w:cs="Arial"/>
                <w:b/>
                <w:bCs/>
                <w:lang w:val="en-GB"/>
              </w:rPr>
              <w:t xml:space="preserve">Favorable (4)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rPr>
            </w:pPr>
            <w:r w:rsidRPr="59EE174B">
              <w:rPr>
                <w:rFonts w:ascii="Arial" w:hAnsi="Arial" w:eastAsia="Arial" w:cs="Arial"/>
                <w:lang w:val="en-GB"/>
              </w:rPr>
              <w:t xml:space="preserve">La législation soutient généralement les OSC dans la définition de leurs objectifs et la conduite de leurs activités avec un contrôle minimal. Les obligations de déclaration sont raisonnables et proportionnées à la taille et à la portée des OSC, ce qui permet un fonctionnement sans heurts. Le contrôle administratif est clair, prévisible et ne crée pas d’obstacles significatifs. Les OSC ont un accès relativement facile aux financements nationaux et internationaux</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rPr>
            </w:pPr>
            <w:r w:rsidRPr="59EE174B">
              <w:rPr>
                <w:rFonts w:ascii="Arial" w:hAnsi="Arial" w:eastAsia="Arial" w:cs="Arial"/>
                <w:b/>
                <w:bCs/>
                <w:lang w:val="en-GB"/>
              </w:rPr>
              <w:t xml:space="preserve">Entièrement favorable (5)</w:t>
            </w:r>
            <w:r w:rsidRPr="59EE174B">
              <w:rPr>
                <w:rFonts w:ascii="Arial" w:hAnsi="Arial" w:eastAsia="Arial" w:cs="Arial"/>
                <w:lang w:val="en-GB"/>
              </w:rPr>
              <w:t xml:space="preserve"> </w:t>
            </w:r>
            <w:r>
              <w:br/>
            </w:r>
            <w:r w:rsidRPr="59EE174B">
              <w:rPr>
                <w:rFonts w:ascii="Arial" w:hAnsi="Arial" w:eastAsia="Arial" w:cs="Arial"/>
                <w:lang w:val="en-GB"/>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rPr>
            </w:pPr>
            <w:r w:rsidRPr="59EE174B">
              <w:rPr>
                <w:rFonts w:ascii="Arial" w:hAnsi="Arial" w:eastAsia="Arial" w:cs="Arial"/>
                <w:lang w:val="en-GB"/>
              </w:rPr>
              <w:t xml:space="preserve">La législation permet pleinement aux OSC de déterminer leur gouvernance interne, leurs objectifs et leurs activités sans aucune ingérence ni restriction. Aucune autorisation gouvernementale n’est requise pour les activités opérationnelles ou la gouvernance. Les OSC ne sont soumises à aucune surveillance administrative excessive. Les obligations de déclaration, le cas échéant, sont simples et claires. Il n’existe aucun obstacle juridique ni aucune limitation à l’accès aux financements nationaux et internationaux.</w:t>
            </w:r>
          </w:p>
        </w:tc>
      </w:tr>
    </w:tbl>
    <w:p w:rsidR="002F6506" w:rsidP="002F6506" w:rsidRDefault="002F6506">
      <w:pPr>
        <w:spacing w:after="200" w:line="288" w:lineRule="auto"/>
        <w:rPr>
          <w:rFonts w:ascii="Arial" w:hAnsi="Arial" w:eastAsia="Arial" w:cs="Arial"/>
          <w:color w:val="000000" w:themeColor="text1"/>
        </w:rPr>
      </w:pPr>
      <w:r w:rsidRPr="59EE174B">
        <w:rPr>
          <w:rFonts w:ascii="Arial" w:hAnsi="Arial" w:eastAsia="Arial" w:cs="Arial"/>
          <w:color w:val="000000" w:themeColor="text1"/>
          <w:lang w:val="en-GB"/>
        </w:rPr>
        <w:t xml:space="preserve"> </w:t>
      </w:r>
    </w:p>
    <w:p w:rsidR="002F6506" w:rsidP="002F6506" w:rsidRDefault="002F6506">
      <w:pPr>
        <w:spacing w:after="200" w:line="288" w:lineRule="auto"/>
        <w:rPr>
          <w:rFonts w:ascii="Arial" w:hAnsi="Arial" w:eastAsia="Arial" w:cs="Arial"/>
          <w:color w:val="000000" w:themeColor="text1"/>
        </w:rPr>
      </w:pPr>
      <w:r w:rsidRPr="59EE174B">
        <w:rPr>
          <w:rFonts w:eastAsiaTheme="minorEastAsia"/>
          <w:b/>
          <w:bCs/>
          <w:lang w:val="en-GB"/>
        </w:rPr>
        <w:t xml:space="preserve">3.3 | Protection contre les ingérences </w:t>
      </w:r>
      <w:r>
        <w:br/>
      </w:r>
      <w:r w:rsidRPr="59EE174B">
        <w:rPr>
          <w:rFonts w:ascii="Arial" w:hAnsi="Arial" w:eastAsia="Arial" w:cs="Arial"/>
          <w:color w:val="000000" w:themeColor="text1"/>
          <w:lang w:val="en-GB"/>
        </w:rPr>
        <w:t xml:space="preserve">  </w:t>
      </w:r>
      <w:r>
        <w:br/>
      </w:r>
      <w:r w:rsidRPr="59EE174B">
        <w:rPr>
          <w:rFonts w:ascii="Arial" w:hAnsi="Arial" w:eastAsia="Arial" w:cs="Arial"/>
          <w:color w:val="000000" w:themeColor="text1"/>
          <w:lang w:val="en-GB"/>
        </w:rPr>
        <w:t xml:space="preserve"> Questions :  </w:t>
      </w:r>
    </w:p>
    <w:p w:rsidR="002F6506" w:rsidP="002F6506" w:rsidRDefault="002F6506">
      <w:pPr>
        <w:pStyle w:val="ListParagraph"/>
        <w:numPr>
          <w:ilvl w:val="0"/>
          <w:numId w:val="20"/>
        </w:numPr>
        <w:spacing w:after="0" w:line="288" w:lineRule="auto"/>
        <w:rPr>
          <w:rFonts w:ascii="Arial" w:hAnsi="Arial" w:eastAsia="Arial" w:cs="Arial"/>
          <w:color w:val="000000" w:themeColor="text1"/>
        </w:rPr>
      </w:pPr>
      <w:r w:rsidRPr="59EE174B">
        <w:rPr>
          <w:rFonts w:ascii="Arial" w:hAnsi="Arial" w:eastAsia="Arial" w:cs="Arial"/>
          <w:color w:val="000000" w:themeColor="text1"/>
        </w:rPr>
        <w:t xml:space="preserve">Le cadre juridique prévoit-il des protections claires contre la dissolution arbitraire des OSC ? Les motifs de dissolution sont-ils explicitement définis par la loi, et existe-t-il des mécanismes juridiques permettant aux OSC de contester des décisions motivées par des considérations politiques ou injustifiées ?</w:t>
      </w:r>
    </w:p>
    <w:p w:rsidR="002F6506" w:rsidP="002F6506" w:rsidRDefault="002F6506">
      <w:pPr>
        <w:pStyle w:val="ListParagraph"/>
        <w:numPr>
          <w:ilvl w:val="0"/>
          <w:numId w:val="20"/>
        </w:numPr>
        <w:spacing w:after="0" w:line="288" w:lineRule="auto"/>
        <w:rPr>
          <w:rFonts w:ascii="Arial" w:hAnsi="Arial" w:eastAsia="Arial" w:cs="Arial"/>
          <w:color w:val="000000" w:themeColor="text1"/>
        </w:rPr>
      </w:pPr>
      <w:r w:rsidRPr="59EE174B">
        <w:rPr>
          <w:rFonts w:ascii="Arial" w:hAnsi="Arial" w:eastAsia="Arial" w:cs="Arial"/>
          <w:color w:val="000000" w:themeColor="text1"/>
        </w:rPr>
        <w:t xml:space="preserve">Quelles dispositions légales protègent les OSC contre les ingérences de l'État ou de tiers ? </w:t>
      </w:r>
    </w:p>
    <w:p w:rsidR="002F6506" w:rsidP="002F6506" w:rsidRDefault="002F6506">
      <w:pPr>
        <w:pStyle w:val="ListParagraph"/>
        <w:numPr>
          <w:ilvl w:val="0"/>
          <w:numId w:val="19"/>
        </w:numPr>
        <w:spacing w:after="0" w:line="288" w:lineRule="auto"/>
        <w:rPr>
          <w:rFonts w:ascii="Arial" w:hAnsi="Arial" w:eastAsia="Arial" w:cs="Arial"/>
          <w:color w:val="000000" w:themeColor="text1"/>
        </w:rPr>
      </w:pPr>
      <w:r w:rsidRPr="59EE174B">
        <w:rPr>
          <w:rFonts w:ascii="Arial" w:hAnsi="Arial" w:eastAsia="Arial" w:cs="Arial"/>
          <w:color w:val="000000" w:themeColor="text1"/>
        </w:rPr>
        <w:lastRenderedPageBreak/>
      </w:r>
      <w:r w:rsidRPr="59EE174B">
        <w:rPr>
          <w:rFonts w:ascii="Arial" w:hAnsi="Arial" w:eastAsia="Arial" w:cs="Arial"/>
          <w:color w:val="000000" w:themeColor="text1"/>
        </w:rPr>
        <w:t xml:space="preserve">Comment la loi réglemente-t-elle les inspections et les interventions de l'État afin qu'elles ne créent pas de charges excessives, ne restreignent pas les activités et ne servent pas d'outils de contrôle ou de surveillance ?</w:t>
      </w:r>
    </w:p>
    <w:p w:rsidR="002F6506" w:rsidP="002F6506" w:rsidRDefault="002F6506">
      <w:pPr>
        <w:spacing w:after="200" w:line="288" w:lineRule="auto"/>
        <w:rPr>
          <w:rFonts w:ascii="Arial" w:hAnsi="Arial" w:eastAsia="Arial" w:cs="Arial"/>
          <w:b/>
          <w:bCs/>
        </w:rPr>
      </w:pPr>
      <w:r>
        <w:br/>
      </w:r>
      <w:r w:rsidRPr="732BBE29">
        <w:rPr>
          <w:rFonts w:ascii="Arial" w:hAnsi="Arial" w:eastAsia="Arial" w:cs="Arial"/>
          <w:b/>
          <w:bCs/>
          <w:lang w:val="en-GB"/>
        </w:rPr>
        <w:t xml:space="preserve">Grille d'évaluation</w:t>
      </w:r>
    </w:p>
    <w:tbl>
      <w:tblPr>
        <w:tblW w:w="0" w:type="auto"/>
        <w:tblBorders>
          <w:top w:val="single" w:color="auto" w:sz="6" w:space="0"/>
          <w:left w:val="single" w:color="auto" w:sz="6" w:space="0"/>
          <w:bottom w:val="single" w:color="auto" w:sz="6" w:space="0"/>
          <w:right w:val="single" w:color="auto" w:sz="6" w:space="0"/>
        </w:tblBorders>
        <w:tblLayout w:type="fixed"/>
        <w:tblLook w:val="04a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2F6506" w:rsidP="006B5817" w:rsidRDefault="002F6506">
            <w:pPr>
              <w:spacing w:after="200" w:line="288" w:lineRule="auto"/>
              <w:rPr>
                <w:rFonts w:ascii="Arial" w:hAnsi="Arial" w:eastAsia="Arial" w:cs="Arial"/>
              </w:rPr>
            </w:pPr>
            <w:r w:rsidRPr="59EE174B">
              <w:rPr>
                <w:rFonts w:ascii="Arial" w:hAnsi="Arial" w:eastAsia="Arial" w:cs="Arial"/>
                <w:b/>
                <w:bCs/>
                <w:lang w:val="en-GB"/>
              </w:rPr>
              <w:t xml:space="preserve">Interdiction totale (1)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2F6506" w:rsidP="006B5817" w:rsidRDefault="002F6506">
            <w:pPr>
              <w:spacing w:after="200" w:line="288" w:lineRule="auto"/>
              <w:rPr>
                <w:rFonts w:ascii="Arial" w:hAnsi="Arial" w:eastAsia="Arial" w:cs="Arial"/>
              </w:rPr>
            </w:pPr>
            <w:r w:rsidRPr="59EE174B">
              <w:rPr>
                <w:rFonts w:ascii="Arial" w:hAnsi="Arial" w:eastAsia="Arial" w:cs="Arial"/>
                <w:lang w:val="en-GB"/>
              </w:rPr>
              <w:t xml:space="preserve">La loi n'offre aucune protection contre les ingérences de l'État ou d'acteurs non étatiques. Les autorités peuvent dissoudre arbitrairement des OSC sans justification, et les organisations ne sont pas protégées contre les perquisitions policières ou les fermetures forcées. Exemple : un gouvernement promulgue une loi autorisant la fermeture d'OSC sans procédure régulière si celles-ci critiquent les politiques de l'État.</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2F6506" w:rsidP="006B5817" w:rsidRDefault="002F6506">
            <w:pPr>
              <w:spacing w:after="200" w:line="288" w:lineRule="auto"/>
              <w:rPr>
                <w:rFonts w:ascii="Arial" w:hAnsi="Arial" w:eastAsia="Arial" w:cs="Arial"/>
              </w:rPr>
            </w:pPr>
            <w:r w:rsidRPr="59EE174B">
              <w:rPr>
                <w:rFonts w:ascii="Arial" w:hAnsi="Arial" w:eastAsia="Arial" w:cs="Arial"/>
                <w:b/>
                <w:bCs/>
                <w:lang w:val="en-GB"/>
              </w:rPr>
              <w:t xml:space="preserve">Restriction (2)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2F6506" w:rsidP="006B5817" w:rsidRDefault="002F6506">
            <w:pPr>
              <w:spacing w:after="200" w:line="288" w:lineRule="auto"/>
              <w:rPr>
                <w:rFonts w:ascii="Arial" w:hAnsi="Arial" w:eastAsia="Arial" w:cs="Arial"/>
              </w:rPr>
            </w:pPr>
            <w:r w:rsidRPr="59EE174B">
              <w:rPr>
                <w:rFonts w:ascii="Arial" w:hAnsi="Arial" w:eastAsia="Arial" w:cs="Arial"/>
                <w:lang w:val="en-GB"/>
              </w:rPr>
              <w:t xml:space="preserve">Le cadre juridique offre une protection minimale. Les lois sur la dissolution sont vagues ou générales, ce qui permet aux autorités de cibler les OSC critiques. Les inspections sont fréquentes et contraignantes, et sont souvent utilisées comme un moyen de harcèlement. Exemple : un pays exige que toutes les OSC soumettent des rapports financiers chaque mois, sous peine de suspension pour des erreurs mineures.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2F6506" w:rsidP="006B5817" w:rsidRDefault="002F6506">
            <w:pPr>
              <w:spacing w:after="200" w:line="288" w:lineRule="auto"/>
              <w:rPr>
                <w:rFonts w:ascii="Arial" w:hAnsi="Arial" w:eastAsia="Arial" w:cs="Arial"/>
              </w:rPr>
            </w:pPr>
            <w:r w:rsidRPr="59EE174B">
              <w:rPr>
                <w:rFonts w:ascii="Arial" w:hAnsi="Arial" w:eastAsia="Arial" w:cs="Arial"/>
                <w:b/>
                <w:bCs/>
                <w:lang w:val="en-GB"/>
              </w:rPr>
              <w:t xml:space="preserve">Partiellement favorable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2F6506" w:rsidP="006B5817" w:rsidRDefault="002F6506">
            <w:pPr>
              <w:spacing w:after="200" w:line="288" w:lineRule="auto"/>
              <w:rPr>
                <w:rFonts w:ascii="Arial" w:hAnsi="Arial" w:eastAsia="Arial" w:cs="Arial"/>
              </w:rPr>
            </w:pPr>
            <w:r w:rsidRPr="59EE174B">
              <w:rPr>
                <w:rFonts w:ascii="Arial" w:hAnsi="Arial" w:eastAsia="Arial" w:cs="Arial"/>
                <w:lang w:val="en-GB"/>
              </w:rPr>
              <w:t xml:space="preserve">Les lois offrent une certaine protection, mais leur application est inégale. Certains groupes, en particulier ceux qui s’engagent auprès de groupes marginalisés ou qui travaillent sur des questions sensibles, peuvent faire l’objet d’ingérences à motivation politique ou d’un contrôle plus strict. </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2F6506" w:rsidP="006B5817" w:rsidRDefault="002F6506">
            <w:pPr>
              <w:spacing w:after="200" w:line="288" w:lineRule="auto"/>
              <w:rPr>
                <w:rFonts w:ascii="Arial" w:hAnsi="Arial" w:eastAsia="Arial" w:cs="Arial"/>
              </w:rPr>
            </w:pPr>
            <w:r w:rsidRPr="59EE174B">
              <w:rPr>
                <w:rFonts w:ascii="Arial" w:hAnsi="Arial" w:eastAsia="Arial" w:cs="Arial"/>
                <w:b/>
                <w:bCs/>
                <w:lang w:val="en-GB"/>
              </w:rPr>
              <w:t xml:space="preserve">Favorable (4)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2F6506" w:rsidP="006B5817" w:rsidRDefault="002F6506">
            <w:pPr>
              <w:spacing w:after="200" w:line="288" w:lineRule="auto"/>
              <w:rPr>
                <w:rFonts w:ascii="Arial" w:hAnsi="Arial" w:eastAsia="Arial" w:cs="Arial"/>
              </w:rPr>
            </w:pPr>
            <w:r w:rsidRPr="59EE174B">
              <w:rPr>
                <w:rFonts w:ascii="Arial" w:hAnsi="Arial" w:eastAsia="Arial" w:cs="Arial"/>
                <w:lang w:val="en-GB"/>
              </w:rPr>
              <w:t xml:space="preserve">La loi protège généralement les OSC contre toute ingérence indue, bien que certaines réglementations puissent être appliquées de manière sélective. Des inspections ont lieu, mais elles sont globalement équitables et justifiées. </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2F6506" w:rsidP="006B5817" w:rsidRDefault="002F6506">
            <w:pPr>
              <w:spacing w:after="200" w:line="288" w:lineRule="auto"/>
              <w:rPr>
                <w:rFonts w:ascii="Arial" w:hAnsi="Arial" w:eastAsia="Arial" w:cs="Arial"/>
              </w:rPr>
            </w:pPr>
            <w:r w:rsidRPr="59EE174B">
              <w:rPr>
                <w:rFonts w:ascii="Arial" w:hAnsi="Arial" w:eastAsia="Arial" w:cs="Arial"/>
                <w:b/>
                <w:bCs/>
                <w:lang w:val="en-GB"/>
              </w:rPr>
              <w:t xml:space="preserve">Entièrement favorable (5)</w:t>
            </w:r>
            <w:r w:rsidRPr="59EE174B">
              <w:rPr>
                <w:rFonts w:ascii="Arial" w:hAnsi="Arial" w:eastAsia="Arial" w:cs="Arial"/>
                <w:lang w:val="en-GB"/>
              </w:rPr>
              <w:t xml:space="preserve"> </w:t>
            </w:r>
            <w:r>
              <w:br/>
            </w:r>
            <w:r w:rsidRPr="59EE174B">
              <w:rPr>
                <w:rFonts w:ascii="Arial" w:hAnsi="Arial" w:eastAsia="Arial" w:cs="Arial"/>
                <w:lang w:val="en-GB"/>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2F6506" w:rsidP="006B5817" w:rsidRDefault="002F6506">
            <w:pPr>
              <w:spacing w:after="200" w:line="288" w:lineRule="auto"/>
              <w:rPr>
                <w:rFonts w:ascii="Arial" w:hAnsi="Arial" w:eastAsia="Arial" w:cs="Arial"/>
              </w:rPr>
            </w:pPr>
            <w:r w:rsidRPr="59EE174B">
              <w:rPr>
                <w:rFonts w:ascii="Arial" w:hAnsi="Arial" w:eastAsia="Arial" w:cs="Arial"/>
                <w:lang w:val="en-GB"/>
              </w:rPr>
              <w:t xml:space="preserve">Le cadre juridique protège explicitement les OSC contre toute dissolution arbitraire ou ingérence. La terminologie juridique est claire. Les inspections et interventions de l'État sont justifiées et objectives, et s'accompagnent de règles de contrôle claires et transparentes. Exemple : la loi exige une décision de justice pour toute dissolution, garantissant ainsi aux OSC la possibilité de contester les décisions injustifiées. </w:t>
            </w:r>
          </w:p>
        </w:tc>
      </w:tr>
    </w:tbl>
    <w:p w:rsidR="002F6506" w:rsidP="002F6506" w:rsidRDefault="002F6506">
      <w:pPr>
        <w:spacing w:after="200" w:line="288" w:lineRule="auto"/>
        <w:rPr>
          <w:rFonts w:ascii="Aptos" w:hAnsi="Aptos" w:eastAsia="Aptos" w:cs="Aptos"/>
          <w:color w:val="000000" w:themeColor="text1"/>
        </w:rPr>
      </w:pPr>
    </w:p>
    <w:p w:rsidR="002F6506" w:rsidP="002F6506" w:rsidRDefault="002F6506">
      <w:pPr>
        <w:spacing w:after="200" w:line="288" w:lineRule="auto"/>
        <w:rPr>
          <w:rFonts w:ascii="Arial" w:hAnsi="Arial" w:eastAsia="Arial" w:cs="Arial"/>
          <w:color w:val="2E74B5" w:themeColor="accent1" w:themeShade="BF"/>
        </w:rPr>
      </w:pPr>
      <w:r w:rsidRPr="51D9F959">
        <w:rPr>
          <w:rFonts w:ascii="Arial" w:hAnsi="Arial" w:eastAsia="Arial" w:cs="Arial"/>
          <w:b/>
          <w:bCs/>
          <w:color w:val="2E74B5" w:themeColor="accent1" w:themeShade="BF"/>
          <w:lang w:val="en-GB"/>
        </w:rPr>
        <w:t xml:space="preserve">Questions d'orientation pour le principe 3 : </w:t>
      </w:r>
      <w:r w:rsidRPr="51D9F959">
        <w:rPr>
          <w:rFonts w:ascii="Arial" w:hAnsi="Arial" w:eastAsia="Arial" w:cs="Arial"/>
          <w:color w:val="2E74B5" w:themeColor="accent1" w:themeShade="BF"/>
          <w:lang w:val="en-GB"/>
        </w:rPr>
        <w:t xml:space="preserve">Ressources accessibles et durables</w:t>
      </w:r>
    </w:p>
    <w:tbl>
      <w:tblPr>
        <w:tblStyle w:val="TableGrid"/>
        <w:tblW w:w="0" w:type="auto"/>
        <w:tblLayout w:type="fixed"/>
        <w:tblLook w:val="06a0"/>
      </w:tblPr>
      <w:tblGrid>
        <w:gridCol w:w="9015"/>
      </w:tblGrid>
      <w:tr w:rsidR="002F6506" w:rsidTr="006B5817">
        <w:trPr>
          <w:trHeight w:val="300"/>
        </w:trPr>
        <w:tc>
          <w:tcPr>
            <w:tcW w:w="9015" w:type="dxa"/>
            <w:vAlign w:val="center"/>
          </w:tcPr>
          <w:p w:rsidR="002F6506" w:rsidP="006B5817" w:rsidRDefault="002F6506">
            <w:pPr>
              <w:rPr>
                <w:rFonts w:ascii="Arial" w:hAnsi="Arial" w:eastAsia="Arial" w:cs="Arial"/>
              </w:rPr>
            </w:pPr>
            <w:r w:rsidRPr="51D9F959">
              <w:rPr>
                <w:rFonts w:ascii="Arial" w:hAnsi="Arial" w:eastAsia="Arial" w:cs="Arial"/>
              </w:rPr>
              <w:t xml:space="preserve">❕ Le principe 3 couvre à la fois les ressources financières et non financières dont disposent les acteurs de la société civile.</w:t>
            </w:r>
            <w:r>
              <w:br/>
            </w:r>
          </w:p>
          <w:p w:rsidR="002F6506" w:rsidP="006B5817" w:rsidRDefault="002F6506">
            <w:pPr>
              <w:rPr>
                <w:rFonts w:ascii="Arial" w:hAnsi="Arial" w:eastAsia="Arial" w:cs="Arial"/>
              </w:rPr>
            </w:pPr>
            <w:r w:rsidRPr="51D9F959">
              <w:rPr>
                <w:rFonts w:ascii="Arial" w:hAnsi="Arial" w:eastAsia="Arial" w:cs="Arial"/>
              </w:rPr>
              <w:t xml:space="preserve">❕ Lorsque la question porte sur les ressources, veillez à prendre en compte à la fois les ressources financières et non financières. Cela inclut l'analyse de la situation en matière de financement ainsi que l'accès à des formations, à l'information, à des réseaux et à d'autres formes de soutien.</w:t>
            </w:r>
          </w:p>
        </w:tc>
      </w:tr>
    </w:tbl>
    <w:p w:rsidR="002F6506" w:rsidP="002F6506" w:rsidRDefault="002F6506">
      <w:pPr>
        <w:rPr>
          <w:rFonts w:ascii="Arial" w:hAnsi="Arial" w:eastAsia="Arial" w:cs="Arial"/>
        </w:rPr>
      </w:pPr>
    </w:p>
    <w:p w:rsidR="002F6506" w:rsidP="002F6506" w:rsidRDefault="002F6506">
      <w:pPr>
        <w:keepNext/>
        <w:keepLines/>
        <w:spacing w:after="200" w:line="288" w:lineRule="auto"/>
        <w:rPr>
          <w:rFonts w:ascii="Arial" w:hAnsi="Arial" w:eastAsia="Arial" w:cs="Arial"/>
          <w:b/>
          <w:bCs/>
        </w:rPr>
      </w:pPr>
      <w:r w:rsidRPr="51D9F959">
        <w:rPr>
          <w:rFonts w:ascii="Arial" w:hAnsi="Arial" w:eastAsia="Arial" w:cs="Arial"/>
          <w:b/>
          <w:bCs/>
          <w:lang w:val="es-ES"/>
        </w:rPr>
        <w:lastRenderedPageBreak/>
      </w:r>
      <w:r w:rsidRPr="51D9F959">
        <w:rPr>
          <w:rFonts w:ascii="Arial" w:hAnsi="Arial" w:eastAsia="Arial" w:cs="Arial"/>
          <w:b/>
          <w:bCs/>
          <w:lang w:val="es-ES"/>
        </w:rPr>
        <w:t xml:space="preserve">3.1 | Accessibilité des ressources</w:t>
      </w:r>
    </w:p>
    <w:p w:rsidR="002F6506" w:rsidP="002F6506" w:rsidRDefault="002F6506">
      <w:pPr>
        <w:widowControl w:val="0"/>
        <w:spacing w:before="240"/>
        <w:rPr>
          <w:rFonts w:ascii="Arial" w:hAnsi="Arial" w:eastAsia="Arial" w:cs="Arial"/>
          <w:color w:val="000000" w:themeColor="text1"/>
        </w:rPr>
      </w:pPr>
      <w:r w:rsidRPr="51D9F959">
        <w:rPr>
          <w:rFonts w:ascii="Arial" w:hAnsi="Arial" w:eastAsia="Arial" w:cs="Arial"/>
          <w:b/>
          <w:bCs/>
          <w:color w:val="000000" w:themeColor="text1"/>
          <w:lang w:val="es-ES"/>
        </w:rPr>
        <w:t xml:space="preserve">Questions : </w:t>
      </w:r>
    </w:p>
    <w:p w:rsidR="002F6506" w:rsidP="002F6506" w:rsidRDefault="002F6506">
      <w:pPr>
        <w:pStyle w:val="ListParagraph"/>
        <w:widowControl w:val="0"/>
        <w:numPr>
          <w:ilvl w:val="0"/>
          <w:numId w:val="18"/>
        </w:numPr>
        <w:spacing w:before="240" w:after="200"/>
        <w:rPr>
          <w:rFonts w:ascii="Arial" w:hAnsi="Arial" w:eastAsia="Arial" w:cs="Arial"/>
          <w:color w:val="000000" w:themeColor="text1"/>
          <w:lang w:val="es-ES"/>
        </w:rPr>
      </w:pPr>
      <w:r w:rsidRPr="51D9F959">
        <w:rPr>
          <w:rFonts w:ascii="Arial" w:hAnsi="Arial" w:eastAsia="Arial" w:cs="Arial"/>
          <w:color w:val="000000" w:themeColor="text1"/>
          <w:lang w:val="en-US"/>
        </w:rPr>
        <w:t xml:space="preserve">Les acteurs de la société civile, y compris ceux qui travaillent sur des questions sensibles ou avec des groupes marginalisés, ont-ils accès à des ressources ? De quelle manière les réglementations gouvernementales ou les processus d'approbation influencent-ils l'accès à ces ressources, en particulier pour les organisations travaillant sur des sujets sensibles ?</w:t>
      </w:r>
    </w:p>
    <w:p w:rsidR="002F6506" w:rsidP="002F6506" w:rsidRDefault="002F6506">
      <w:pPr>
        <w:pStyle w:val="ListParagraph"/>
        <w:widowControl w:val="0"/>
        <w:numPr>
          <w:ilvl w:val="0"/>
          <w:numId w:val="18"/>
        </w:numPr>
        <w:spacing w:before="240" w:after="200"/>
        <w:rPr>
          <w:rFonts w:ascii="Arial" w:hAnsi="Arial" w:eastAsia="Arial" w:cs="Arial"/>
          <w:color w:val="000000" w:themeColor="text1"/>
          <w:lang w:val="es-ES"/>
        </w:rPr>
      </w:pPr>
      <w:r w:rsidRPr="51D9F959">
        <w:rPr>
          <w:rFonts w:ascii="Arial" w:hAnsi="Arial" w:eastAsia="Arial" w:cs="Arial"/>
          <w:color w:val="000000" w:themeColor="text1"/>
          <w:lang w:val="en-US"/>
        </w:rPr>
        <w:t xml:space="preserve">Les acteurs de la société civile ont-ils accès à des informations sur les possibilités de financement, et ont-ils la capacité de répondre aux appels à propositions ? Les appels à propositions sont-ils structurés de manière à faciliter les demandes et à s'aligner sur les priorités de financement ?</w:t>
      </w:r>
    </w:p>
    <w:p w:rsidR="002F6506" w:rsidP="002F6506" w:rsidRDefault="002F6506">
      <w:pPr>
        <w:pStyle w:val="ListParagraph"/>
        <w:widowControl w:val="0"/>
        <w:numPr>
          <w:ilvl w:val="0"/>
          <w:numId w:val="18"/>
        </w:numPr>
        <w:spacing w:before="240" w:after="200"/>
        <w:rPr>
          <w:rFonts w:ascii="Arial" w:hAnsi="Arial" w:eastAsia="Arial" w:cs="Arial"/>
          <w:color w:val="000000" w:themeColor="text1"/>
          <w:lang w:val="es-ES"/>
        </w:rPr>
      </w:pPr>
      <w:r w:rsidRPr="51D9F959">
        <w:rPr>
          <w:rFonts w:ascii="Arial" w:hAnsi="Arial" w:eastAsia="Arial" w:cs="Arial"/>
          <w:color w:val="000000" w:themeColor="text1"/>
          <w:lang w:val="en-US"/>
        </w:rPr>
        <w:t xml:space="preserve">Quel est l'impact des politiques fiscales sur le financement ? Existe-t-il des mécanismes, tels que des déductions ou des exonérations fiscales, qui encouragent les dons aux acteurs de la société civile ? À l'inverse, quelles sont les charges fiscales susceptibles de restreindre la capacité des acteurs de la société civile à fonctionner, telles que l'impôt sur le revenu des subventions ou la double imposition ?</w:t>
      </w:r>
    </w:p>
    <w:p w:rsidR="002F6506" w:rsidP="002F6506" w:rsidRDefault="002F6506">
      <w:pPr>
        <w:pStyle w:val="ListParagraph"/>
        <w:widowControl w:val="0"/>
        <w:numPr>
          <w:ilvl w:val="0"/>
          <w:numId w:val="18"/>
        </w:numPr>
        <w:spacing w:before="240" w:after="200"/>
        <w:rPr>
          <w:rFonts w:ascii="Arial" w:hAnsi="Arial" w:eastAsia="Arial" w:cs="Arial"/>
          <w:color w:val="000000" w:themeColor="text1"/>
          <w:lang w:val="es-ES"/>
        </w:rPr>
      </w:pPr>
      <w:r w:rsidRPr="51D9F959">
        <w:rPr>
          <w:rFonts w:ascii="Arial" w:hAnsi="Arial" w:eastAsia="Arial" w:cs="Arial"/>
          <w:color w:val="000000" w:themeColor="text1"/>
          <w:lang w:val="en-US"/>
        </w:rPr>
        <w:t xml:space="preserve">Quels défis les acteurs de la société civile rencontrent-ils lorsqu'ils traitent avec des banques et des prestataires de services financiers ? (par exemple, restrictions à l'ouverture de comptes, gel de comptes ou utilisation d'informations bancaires sensibles à des fins de surveillance ou d'intimidation)</w:t>
      </w:r>
    </w:p>
    <w:p w:rsidR="002F6506" w:rsidP="002F6506" w:rsidRDefault="002F6506">
      <w:pPr>
        <w:widowControl w:val="0"/>
        <w:spacing w:after="200" w:line="288" w:lineRule="auto"/>
        <w:rPr>
          <w:rFonts w:ascii="Arial" w:hAnsi="Arial" w:eastAsia="Arial" w:cs="Arial"/>
          <w:b/>
          <w:bCs/>
        </w:rPr>
      </w:pPr>
      <w:r w:rsidRPr="732BBE29">
        <w:rPr>
          <w:rFonts w:ascii="Arial" w:hAnsi="Arial" w:eastAsia="Arial" w:cs="Arial"/>
          <w:b/>
          <w:bCs/>
          <w:lang w:val="en-GB"/>
        </w:rPr>
        <w:t xml:space="preserve">Vignettes de notation</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b/>
                <w:bCs/>
                <w:lang w:val="es-ES"/>
              </w:rPr>
              <w:t xml:space="preserve">Entièrement paralysant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lang w:val="es-ES"/>
              </w:rPr>
            </w:pPr>
            <w:r w:rsidRPr="51D9F959">
              <w:rPr>
                <w:rFonts w:ascii="Arial" w:hAnsi="Arial" w:eastAsia="Arial" w:cs="Arial"/>
                <w:lang w:val="en-US"/>
              </w:rPr>
              <w:t xml:space="preserve">Le financement est pratiquement inexistant et les ressources disponibles sont très limitées. Les acteurs de la société civile se heurtent à des obstacles extrêmes pour accéder aux services financiers, les banques refusant d’ouvrir des comptes aux ONG ou leur imposant des restrictions importantes. La fiscalité est excessive et il n’existe aucune exonération ni incitation pour les acteurs de la société civile ou les donateurs. L’environnement est hostile et ne prévoit aucun soutien significatif pour la société civile.</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b/>
                <w:bCs/>
                <w:lang w:val="es-ES"/>
              </w:rPr>
              <w:t xml:space="preserve">Entrave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lang w:val="es-ES"/>
              </w:rPr>
            </w:pPr>
            <w:r w:rsidRPr="51D9F959">
              <w:rPr>
                <w:rFonts w:ascii="Arial" w:hAnsi="Arial" w:eastAsia="Arial" w:cs="Arial"/>
                <w:lang w:val="en-US"/>
              </w:rPr>
              <w:t xml:space="preserve">Le financement est rare, et les acteurs de la société civile se heurtent à des obstacles importants pour y accéder. Les informations sur les fonds disponibles sont limitées, et les processus d'approbation sont arbitraires, avec des retards excessifs ou des obstacles bureaucratiques. Les autorités gouvernementales et les institutions financières imposent des mesures restrictives. La réglementation fiscale offre un minimum d'exonérations ou de déductions, et les donateurs ne bénéficient que de peu ou pas d'incitations.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b/>
                <w:bCs/>
                <w:lang w:val="es-ES"/>
              </w:rPr>
              <w:t xml:space="preserve">Partiellement favorable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lang w:val="es-ES"/>
              </w:rPr>
            </w:pPr>
            <w:r w:rsidRPr="51D9F959">
              <w:rPr>
                <w:rFonts w:ascii="Arial" w:hAnsi="Arial" w:eastAsia="Arial" w:cs="Arial"/>
                <w:lang w:val="en-US"/>
              </w:rPr>
              <w:t xml:space="preserve">Des financements sont disponibles dans une certaine mesure, mais leur accès est entravé par des procédures bureaucratiques, et certaines restrictions sont toujours en vigueur. Des informations sur les sources de financement existent, mais peuvent être difficiles à trouver ou à consulter. Les banques autorisent les acteurs de la société civile à mener leurs activités, mais leur imposent souvent des restrictions inutiles, telles que des frais plus élevés ou des exigences supplémentaires. Certains acteurs de la société civile sont désavantagés, par exemple ceux qui travaillent sur des questions sensibles ou auprès de communautés marginalisées. Il existe certaines exonérations ou déductions fiscales, mais elles peuvent être complexes ou appliquées de manière incohérente. Les donateurs bénéficient d'incitations limitées pour leurs contributions.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b/>
                <w:bCs/>
                <w:lang w:val="es-ES"/>
              </w:rPr>
              <w:t xml:space="preserve">Favorable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51D9F959">
              <w:rPr>
                <w:rFonts w:ascii="Arial" w:hAnsi="Arial" w:eastAsia="Arial" w:cs="Arial"/>
                <w:color w:val="000000" w:themeColor="text1"/>
                <w:lang w:val="en-US"/>
              </w:rPr>
              <w:lastRenderedPageBreak/>
            </w:r>
            <w:r w:rsidRPr="51D9F959">
              <w:rPr>
                <w:rFonts w:ascii="Arial" w:hAnsi="Arial" w:eastAsia="Arial" w:cs="Arial"/>
                <w:color w:val="000000" w:themeColor="text1"/>
                <w:lang w:val="en-US"/>
              </w:rPr>
              <w:t xml:space="preserve">Des financements sont disponibles. L'État offre un cadre clair et favorable à l'accès au financement, avec des informations facilement accessibles, des restrictions minimales et des procédures d'approbation efficaces. Les banques </w:t>
            </w:r>
            <w:r w:rsidRPr="51D9F959">
              <w:rPr>
                <w:rFonts w:ascii="Arial" w:hAnsi="Arial" w:eastAsia="Arial" w:cs="Arial"/>
                <w:lang w:val="en-US"/>
              </w:rPr>
              <w:t xml:space="preserve">facilitent l'accès aux services avec des frais minimes et peu de restrictions pour les acteurs de la société civile. </w:t>
            </w:r>
            <w:r w:rsidRPr="51D9F959">
              <w:rPr>
                <w:rFonts w:ascii="Arial" w:hAnsi="Arial" w:eastAsia="Arial" w:cs="Arial"/>
                <w:color w:val="000000" w:themeColor="text1"/>
                <w:lang w:val="en-US"/>
              </w:rPr>
              <w:t xml:space="preserve">Certains </w:t>
            </w:r>
            <w:r w:rsidRPr="51D9F959">
              <w:rPr>
                <w:rFonts w:ascii="Arial" w:hAnsi="Arial" w:eastAsia="Arial" w:cs="Arial"/>
                <w:color w:val="000000" w:themeColor="text1"/>
                <w:lang w:val="en-US"/>
              </w:rPr>
              <w:t xml:space="preserve">types d'acteurs de la société civile peuvent être confrontés à des critères d'éligibilité limités ou à des contraintes de ressources, mais ces difficultés peuvent généralement être résolues ou surmontées. La réglementation fiscale offre des exonérations et des incitations raisonnables aux donateurs. </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b/>
                <w:bCs/>
                <w:lang w:val="es-ES"/>
              </w:rPr>
              <w:lastRenderedPageBreak/>
            </w:r>
            <w:r w:rsidRPr="51D9F959">
              <w:rPr>
                <w:rFonts w:ascii="Arial" w:hAnsi="Arial" w:eastAsia="Arial" w:cs="Arial"/>
                <w:b/>
                <w:bCs/>
                <w:lang w:val="es-ES"/>
              </w:rPr>
              <w:t xml:space="preserve">Entièrement favorable (5)</w:t>
            </w:r>
            <w:r>
              <w:br/>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color w:val="000000" w:themeColor="text1"/>
                <w:lang w:val="en-US"/>
              </w:rPr>
              <w:t xml:space="preserve">Des financements sont disponibles et accessibles. L'État encourage activement l'accès à diverses sources de financement sans restrictions, en fournissant de manière proactive des informations sur ces sources et en garantissant des processus de reporting transparents et efficaces. Les banques permettent aux acteurs de la société civile d'ouvrir des comptes, de recevoir et d'accéder facilement à des financements, y compris internationaux. Les acteurs de la société civile, y compris ceux qui travaillent sur des questions sensibles et auprès de groupes marginalisés, ont la possibilité d'accéder à des financements. La réglementation exonère les acteurs de la société civile de l'impôt sur le revenu et prévoit des incitations significatives pour les donateurs. </w:t>
            </w:r>
          </w:p>
        </w:tc>
      </w:tr>
    </w:tbl>
    <w:p w:rsidR="002F6506" w:rsidP="002F6506" w:rsidRDefault="002F6506">
      <w:pPr>
        <w:keepNext/>
        <w:keepLines/>
        <w:widowControl w:val="0"/>
        <w:rPr>
          <w:b/>
          <w:bCs/>
          <w:lang w:val="es-ES"/>
        </w:rPr>
      </w:pPr>
    </w:p>
    <w:p w:rsidR="002F6506" w:rsidP="002F6506" w:rsidRDefault="002F6506">
      <w:pPr>
        <w:keepNext/>
        <w:keepLines/>
        <w:widowControl w:val="0"/>
        <w:rPr>
          <w:rFonts w:ascii="Arial" w:hAnsi="Arial" w:eastAsia="Arial" w:cs="Arial"/>
          <w:b/>
          <w:bCs/>
        </w:rPr>
      </w:pPr>
      <w:r w:rsidRPr="3DD1B795">
        <w:rPr>
          <w:b/>
          <w:bCs/>
          <w:lang w:val="es-ES"/>
        </w:rPr>
        <w:t xml:space="preserve">3.2 | Efficacité des ressources</w:t>
      </w:r>
    </w:p>
    <w:p w:rsidR="002F6506" w:rsidP="002F6506" w:rsidRDefault="002F6506">
      <w:pPr>
        <w:widowControl w:val="0"/>
        <w:spacing w:before="240"/>
        <w:rPr>
          <w:rFonts w:ascii="Arial" w:hAnsi="Arial" w:eastAsia="Arial" w:cs="Arial"/>
          <w:color w:val="000000" w:themeColor="text1"/>
        </w:rPr>
      </w:pPr>
      <w:r w:rsidRPr="582F23E0">
        <w:rPr>
          <w:rFonts w:ascii="Arial" w:hAnsi="Arial" w:eastAsia="Arial" w:cs="Arial"/>
          <w:color w:val="000000" w:themeColor="text1"/>
          <w:lang w:val="es-ES"/>
        </w:rPr>
        <w:t xml:space="preserve">Questions </w:t>
      </w:r>
      <w:r w:rsidRPr="582F23E0">
        <w:rPr>
          <w:rFonts w:ascii="Arial" w:hAnsi="Arial" w:eastAsia="Arial" w:cs="Arial"/>
          <w:b/>
          <w:bCs/>
          <w:color w:val="000000" w:themeColor="text1"/>
          <w:lang w:val="es-ES"/>
        </w:rPr>
        <w:t xml:space="preserve">: </w:t>
      </w:r>
    </w:p>
    <w:p w:rsidR="002F6506" w:rsidP="002F6506" w:rsidRDefault="002F6506">
      <w:pPr>
        <w:pStyle w:val="ListParagraph"/>
        <w:widowControl w:val="0"/>
        <w:numPr>
          <w:ilvl w:val="0"/>
          <w:numId w:val="17"/>
        </w:numPr>
        <w:spacing w:before="240" w:after="200"/>
        <w:rPr>
          <w:rFonts w:ascii="Arial" w:hAnsi="Arial" w:eastAsia="Arial" w:cs="Arial"/>
          <w:color w:val="000000" w:themeColor="text1"/>
          <w:lang w:val="es-ES"/>
        </w:rPr>
      </w:pPr>
      <w:r w:rsidRPr="51D9F959">
        <w:rPr>
          <w:rFonts w:ascii="Arial" w:hAnsi="Arial" w:eastAsia="Arial" w:cs="Arial"/>
          <w:color w:val="000000" w:themeColor="text1"/>
          <w:lang w:val="es-ES"/>
        </w:rPr>
        <w:t xml:space="preserve">Quelles conditions les donateurs imposent-ils au financement ? Les gouvernements imposent-ils des restrictions sur la manière dont les fonds et autres ressources peuvent être utilisés ?</w:t>
      </w:r>
    </w:p>
    <w:p w:rsidR="002F6506" w:rsidP="002F6506" w:rsidRDefault="002F6506">
      <w:pPr>
        <w:pStyle w:val="ListParagraph"/>
        <w:widowControl w:val="0"/>
        <w:numPr>
          <w:ilvl w:val="0"/>
          <w:numId w:val="17"/>
        </w:numPr>
        <w:spacing w:after="200" w:line="279" w:lineRule="auto"/>
        <w:rPr>
          <w:rFonts w:ascii="Arial" w:hAnsi="Arial" w:eastAsia="Arial" w:cs="Arial"/>
          <w:color w:val="000000" w:themeColor="text1"/>
        </w:rPr>
      </w:pPr>
      <w:r w:rsidRPr="51D9F959">
        <w:rPr>
          <w:rFonts w:ascii="Arial" w:hAnsi="Arial" w:eastAsia="Arial" w:cs="Arial"/>
          <w:color w:val="000000" w:themeColor="text1"/>
          <w:lang w:val="en-US"/>
        </w:rPr>
        <w:t xml:space="preserve">Les conditions de financement sont-elles alignées sur les objectifs et les priorités des acteurs de la société civile, ou sont-elles davantage dictées par les donateurs, limitant ainsi l'autonomie de ces acteurs ? </w:t>
      </w:r>
    </w:p>
    <w:p w:rsidR="002F6506" w:rsidP="002F6506" w:rsidRDefault="002F6506">
      <w:pPr>
        <w:pStyle w:val="ListParagraph"/>
        <w:widowControl w:val="0"/>
        <w:numPr>
          <w:ilvl w:val="0"/>
          <w:numId w:val="17"/>
        </w:numPr>
        <w:spacing w:after="200" w:line="279" w:lineRule="auto"/>
        <w:rPr>
          <w:rFonts w:ascii="Arial" w:hAnsi="Arial" w:eastAsia="Arial" w:cs="Arial"/>
          <w:color w:val="000000" w:themeColor="text1"/>
          <w:lang w:val="es-ES"/>
        </w:rPr>
      </w:pPr>
      <w:r w:rsidRPr="51D9F959">
        <w:rPr>
          <w:rFonts w:ascii="Arial" w:hAnsi="Arial" w:eastAsia="Arial" w:cs="Arial"/>
          <w:color w:val="000000" w:themeColor="text1"/>
          <w:lang w:val="en-US"/>
        </w:rPr>
        <w:t xml:space="preserve">Dans quelle mesure les donateurs font-ils preuve de souplesse pour adapter leur financement aux changements de l'environnement opérationnel ou de la mission des OSC, permettant ainsi aux programmes d'évoluer en fonction des besoins émergents ? </w:t>
      </w:r>
    </w:p>
    <w:p w:rsidR="002F6506" w:rsidP="002F6506" w:rsidRDefault="002F6506">
      <w:pPr>
        <w:pStyle w:val="ListParagraph"/>
        <w:widowControl w:val="0"/>
        <w:numPr>
          <w:ilvl w:val="0"/>
          <w:numId w:val="17"/>
        </w:numPr>
        <w:spacing w:after="200" w:line="279" w:lineRule="auto"/>
        <w:rPr>
          <w:rFonts w:ascii="Arial" w:hAnsi="Arial" w:eastAsia="Arial" w:cs="Arial"/>
          <w:color w:val="000000" w:themeColor="text1"/>
          <w:lang w:val="es-ES"/>
        </w:rPr>
      </w:pPr>
      <w:r w:rsidRPr="732BBE29">
        <w:rPr>
          <w:rFonts w:ascii="Arial" w:hAnsi="Arial" w:eastAsia="Arial" w:cs="Arial"/>
          <w:color w:val="000000" w:themeColor="text1"/>
          <w:lang w:val="en-US"/>
        </w:rPr>
        <w:t xml:space="preserve">Dans quelle mesure les bailleurs de fonds sont-ils attentifs aux préoccupations des OSC en matière de sécurité et à l'atténuation des risques potentiels découlant des programmes qu'ils financent ?</w:t>
      </w:r>
    </w:p>
    <w:p w:rsidR="002F6506" w:rsidP="002F6506" w:rsidRDefault="002F6506">
      <w:pPr>
        <w:widowControl w:val="0"/>
        <w:spacing w:after="200" w:line="288" w:lineRule="auto"/>
        <w:rPr>
          <w:rFonts w:ascii="Arial" w:hAnsi="Arial" w:eastAsia="Arial" w:cs="Arial"/>
          <w:color w:val="000000" w:themeColor="text1"/>
        </w:rPr>
      </w:pPr>
      <w:r w:rsidRPr="732BBE29">
        <w:rPr>
          <w:rFonts w:ascii="Arial" w:hAnsi="Arial" w:eastAsia="Arial" w:cs="Arial"/>
          <w:b/>
          <w:bCs/>
          <w:lang w:val="en-GB"/>
        </w:rPr>
        <w:t xml:space="preserve">Barème de notation :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b/>
                <w:bCs/>
                <w:lang w:val="es-ES"/>
              </w:rPr>
              <w:t xml:space="preserve">Totalement paralysant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lang w:val="en-US"/>
              </w:rPr>
              <w:t xml:space="preserve">Les bailleurs de fonds imposent des conditions très restrictives, limitant fortement l'indépendance des acteurs de la société civile. Les relations avec les bailleurs de fonds et les pairs manquent de confiance ou de collaboration. Les bailleurs de fonds s'ingèrent dans la gouvernance interne des acteurs de la société civile. Les exigences en matière de rapports et de conformité sont excessives, incohérentes et contraignantes, entravant la capacité des acteurs de la société civile </w:t>
            </w:r>
            <w:r w:rsidRPr="51D9F959">
              <w:rPr>
                <w:rFonts w:ascii="Arial" w:hAnsi="Arial" w:eastAsia="Arial" w:cs="Arial"/>
                <w:color w:val="000000" w:themeColor="text1"/>
                <w:lang w:val="es-ES"/>
              </w:rPr>
              <w:t xml:space="preserve">à remplir leurs missions</w:t>
            </w:r>
            <w:r w:rsidRPr="51D9F959">
              <w:rPr>
                <w:rFonts w:ascii="Arial" w:hAnsi="Arial" w:eastAsia="Arial" w:cs="Arial"/>
                <w:lang w:val="en-US"/>
              </w:rPr>
              <w:t xml:space="preserve">. Les conditions imposées par les bailleurs de fonds et les exigences en matière de rapports exacerbent les risques de sécurité pour les acteurs de la société civile.</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b/>
                <w:bCs/>
                <w:lang w:val="es-ES"/>
              </w:rPr>
              <w:t xml:space="preserve">Invalidant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lang w:val="es-ES"/>
              </w:rPr>
            </w:pPr>
            <w:r w:rsidRPr="51D9F959">
              <w:rPr>
                <w:rFonts w:ascii="Arial" w:hAnsi="Arial" w:eastAsia="Arial" w:cs="Arial"/>
                <w:lang w:val="en-US"/>
              </w:rPr>
              <w:t xml:space="preserve">Les bailleurs de fonds imposent des conditions importantes qui restreignent la flexibilité et l'autonomie des acteurs de la société civile, souvent au mépris des besoins locaux. Les relations avec les bailleurs de fonds et les pairs sont largement hiérarchiques, laissant peu de place à la contribution des acteurs de la société civile. Les bailleurs de fonds s'ingèrent parfois dans la gouvernance interne. Les conditions imposées par les bailleurs de fonds et les processus de reporting ne tiennent pas compte des risques sécuritaires auxquels sont confrontés les acteurs de la société civile.</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b/>
                <w:bCs/>
                <w:lang w:val="es-ES"/>
              </w:rPr>
              <w:t xml:space="preserve">Facilitation partielle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lang w:val="es-ES"/>
              </w:rPr>
            </w:pPr>
            <w:r w:rsidRPr="51D9F959">
              <w:rPr>
                <w:rFonts w:ascii="Arial" w:hAnsi="Arial" w:eastAsia="Arial" w:cs="Arial"/>
                <w:lang w:val="en-US"/>
              </w:rPr>
              <w:lastRenderedPageBreak/>
            </w:r>
            <w:r w:rsidRPr="51D9F959">
              <w:rPr>
                <w:rFonts w:ascii="Arial" w:hAnsi="Arial" w:eastAsia="Arial" w:cs="Arial"/>
                <w:lang w:val="en-US"/>
              </w:rPr>
              <w:t xml:space="preserve">Les bailleurs de fonds imposent des conditions raisonnables qui correspondent généralement aux objectifs et aux priorités des acteurs de la société civile. Les relations avec les bailleurs de fonds et les pairs sont collaboratives, avec un certain degré de prise de décision partagée. </w:t>
            </w:r>
            <w:r w:rsidRPr="51D9F959">
              <w:rPr>
                <w:rFonts w:ascii="Arial" w:hAnsi="Arial" w:eastAsia="Arial" w:cs="Arial"/>
                <w:lang w:val="en-US"/>
              </w:rPr>
              <w:t xml:space="preserve">Les conditions imposées par les bailleurs de fonds respectent l’autonomie des acteurs de la société civile en matière de gouvernance. Les exigences en matière de rapports sont parfois rigides et présentent certaines inefficacités. Les bailleurs de fonds reconnaissent les inconvénients potentiels liés aux conditions et aux exigences de rapports et prennent des mesures d’atténuation.</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b/>
                <w:bCs/>
                <w:lang w:val="es-ES"/>
              </w:rPr>
              <w:lastRenderedPageBreak/>
            </w:r>
            <w:r w:rsidRPr="51D9F959">
              <w:rPr>
                <w:rFonts w:ascii="Arial" w:hAnsi="Arial" w:eastAsia="Arial" w:cs="Arial"/>
                <w:b/>
                <w:bCs/>
                <w:lang w:val="es-ES"/>
              </w:rPr>
              <w:t xml:space="preserve">Favorable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lang w:val="es-ES"/>
              </w:rPr>
            </w:pPr>
            <w:r w:rsidRPr="51D9F959">
              <w:rPr>
                <w:rFonts w:ascii="Arial" w:hAnsi="Arial" w:eastAsia="Arial" w:cs="Arial"/>
                <w:lang w:val="es-ES"/>
              </w:rPr>
              <w:t xml:space="preserve">Les bailleurs de fonds imposent des conditions souples et raisonnables qui correspondent aux besoins et aux priorités des acteurs de la société civile. Les relations sont fondées sur la confiance, avec une marge de négociation et une prise de décision partagée. Les bailleurs de fonds respectent et encouragent activement l’autonomie des acteurs de la société civile en matière de gouvernance. Les exigences en matière de rapports sont rationalisées. Les bailleurs de fonds sont attentifs aux besoins des acteurs de la société civile en matière de sécurité et prennent des mesures proactives pour atténuer les risques.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b/>
                <w:bCs/>
                <w:lang w:val="es-ES"/>
              </w:rPr>
              <w:t xml:space="preserve">Entièrement favorable (5)</w:t>
            </w:r>
            <w:r>
              <w:br/>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lang w:val="es-ES"/>
              </w:rPr>
            </w:pPr>
            <w:r w:rsidRPr="51D9F959">
              <w:rPr>
                <w:rFonts w:ascii="Arial" w:hAnsi="Arial" w:eastAsia="Arial" w:cs="Arial"/>
                <w:lang w:val="es-ES"/>
              </w:rPr>
              <w:t xml:space="preserve">Les bailleurs de fonds soutiennent activement l'indépendance des acteurs de la société civile grâce à un financement souple et sans condition. Les relations reposent le plus souvent sur le respect mutuel et la définition conjointe des priorités de financement. Les bailleurs de fonds encouragent activement l'autonomie des acteurs de la société civile en matière de gouvernance. Les obligations de reporting sont minimales, transparentes et efficaces, ce qui permet aux acteurs de la société civile de se concentrer sur leurs missions. Les bailleurs de fonds mettent à la disposition des acteurs de la société civile des espaces dédiés où ils peuvent faire part de leurs préoccupations en matière de sécurité et élaborer conjointement des solutions souples visant à prévenir les préjudices et à renforcer la résilience.</w:t>
            </w:r>
          </w:p>
        </w:tc>
      </w:tr>
    </w:tbl>
    <w:p w:rsidR="002F6506" w:rsidP="002F6506" w:rsidRDefault="002F6506">
      <w:pPr>
        <w:keepNext/>
        <w:keepLines/>
        <w:widowControl w:val="0"/>
        <w:rPr>
          <w:rFonts w:ascii="Arial" w:hAnsi="Arial" w:eastAsia="Arial" w:cs="Arial"/>
          <w:lang w:val="es-ES"/>
        </w:rPr>
      </w:pPr>
    </w:p>
    <w:p w:rsidR="002F6506" w:rsidP="002F6506" w:rsidRDefault="002F6506">
      <w:pPr>
        <w:keepNext/>
        <w:keepLines/>
        <w:widowControl w:val="0"/>
        <w:rPr>
          <w:rFonts w:ascii="Arial" w:hAnsi="Arial" w:eastAsia="Arial" w:cs="Arial"/>
          <w:b/>
          <w:bCs/>
        </w:rPr>
      </w:pPr>
      <w:r w:rsidRPr="732BBE29">
        <w:rPr>
          <w:rFonts w:ascii="Arial" w:hAnsi="Arial" w:eastAsia="Arial" w:cs="Arial"/>
          <w:b/>
          <w:bCs/>
          <w:lang w:val="es-ES"/>
        </w:rPr>
        <w:t xml:space="preserve">3.3 | Durabilité des ressources</w:t>
      </w:r>
    </w:p>
    <w:p w:rsidR="002F6506" w:rsidP="002F6506" w:rsidRDefault="002F6506">
      <w:pPr>
        <w:widowControl w:val="0"/>
        <w:spacing w:before="240"/>
        <w:rPr>
          <w:rFonts w:ascii="Arial" w:hAnsi="Arial" w:eastAsia="Arial" w:cs="Arial"/>
          <w:color w:val="000000" w:themeColor="text1"/>
        </w:rPr>
      </w:pPr>
      <w:r w:rsidRPr="732BBE29">
        <w:rPr>
          <w:rFonts w:ascii="Arial" w:hAnsi="Arial" w:eastAsia="Arial" w:cs="Arial"/>
          <w:color w:val="000000" w:themeColor="text1"/>
          <w:lang w:val="es-ES"/>
        </w:rPr>
        <w:t xml:space="preserve">Questions : </w:t>
      </w:r>
    </w:p>
    <w:p w:rsidR="002F6506" w:rsidP="002F6506" w:rsidRDefault="002F6506">
      <w:pPr>
        <w:pStyle w:val="ListParagraph"/>
        <w:widowControl w:val="0"/>
        <w:numPr>
          <w:ilvl w:val="0"/>
          <w:numId w:val="16"/>
        </w:numPr>
        <w:spacing w:before="240" w:after="200"/>
        <w:rPr>
          <w:rFonts w:ascii="Arial" w:hAnsi="Arial" w:eastAsia="Arial" w:cs="Arial"/>
          <w:color w:val="000000" w:themeColor="text1"/>
          <w:lang w:val="es-ES"/>
        </w:rPr>
      </w:pPr>
      <w:r w:rsidRPr="51D9F959">
        <w:rPr>
          <w:rFonts w:ascii="Arial" w:hAnsi="Arial" w:eastAsia="Arial" w:cs="Arial"/>
          <w:color w:val="000000" w:themeColor="text1"/>
          <w:lang w:val="en-US"/>
        </w:rPr>
        <w:t xml:space="preserve">Dans quelle mesure les acteurs de la société civile ont-ils accès à un éventail diversifié et fiable de sources de financement ? Quels défis se posent s'ils dépendent d'une source de financement unique ou imprévisible ?</w:t>
      </w:r>
    </w:p>
    <w:p w:rsidR="002F6506" w:rsidP="002F6506" w:rsidRDefault="002F6506">
      <w:pPr>
        <w:pStyle w:val="ListParagraph"/>
        <w:widowControl w:val="0"/>
        <w:numPr>
          <w:ilvl w:val="0"/>
          <w:numId w:val="16"/>
        </w:numPr>
        <w:spacing w:after="200"/>
        <w:rPr>
          <w:rFonts w:ascii="Arial" w:hAnsi="Arial" w:eastAsia="Arial" w:cs="Arial"/>
          <w:color w:val="000000" w:themeColor="text1"/>
          <w:lang w:val="es-ES"/>
        </w:rPr>
      </w:pPr>
      <w:r w:rsidRPr="51D9F959">
        <w:rPr>
          <w:rFonts w:ascii="Arial" w:hAnsi="Arial" w:eastAsia="Arial" w:cs="Arial"/>
          <w:color w:val="000000" w:themeColor="text1"/>
          <w:lang w:val="en-US"/>
        </w:rPr>
        <w:t xml:space="preserve">Existe-t-il des lacunes dans les cycles de financement, et quel est leur impact sur la capacité des acteurs de la société civile à maintenir leurs opérations sans retard ni interruption ? Comment les structures de financement actuelles influencent-elles les conditions de travail du personnel, la continuité des programmes et la durabilité à long terme ?</w:t>
      </w:r>
    </w:p>
    <w:p w:rsidR="002F6506" w:rsidP="002F6506" w:rsidRDefault="002F6506">
      <w:pPr>
        <w:pStyle w:val="ListParagraph"/>
        <w:widowControl w:val="0"/>
        <w:numPr>
          <w:ilvl w:val="0"/>
          <w:numId w:val="16"/>
        </w:numPr>
        <w:spacing w:before="240" w:after="200"/>
        <w:rPr>
          <w:rFonts w:ascii="Arial" w:hAnsi="Arial" w:eastAsia="Arial" w:cs="Arial"/>
          <w:color w:val="000000" w:themeColor="text1"/>
          <w:lang w:val="es-ES"/>
        </w:rPr>
      </w:pPr>
      <w:r w:rsidRPr="51D9F959">
        <w:rPr>
          <w:rFonts w:ascii="Arial" w:hAnsi="Arial" w:eastAsia="Arial" w:cs="Arial"/>
          <w:color w:val="000000" w:themeColor="text1"/>
          <w:lang w:val="es-ES"/>
        </w:rPr>
        <w:t xml:space="preserve">Comment l'environnement des ressources influe-t-il sur la capacité des acteurs de la société civile à atteindre leurs objectifs programmatiques à long terme et à s'engager dans une planification stratégique ? </w:t>
      </w:r>
      <w:r w:rsidRPr="51D9F959">
        <w:rPr>
          <w:rFonts w:ascii="Arial" w:hAnsi="Arial" w:eastAsia="Arial" w:cs="Arial"/>
          <w:color w:val="000000" w:themeColor="text1"/>
          <w:lang w:val="en-US"/>
        </w:rPr>
        <w:t xml:space="preserve">Dans quelle mesure le financement est-il lié à des projets plutôt qu'au fonctionnement de base, et comment cela affecte-t-il la durabilité organisationnelle ?</w:t>
      </w:r>
    </w:p>
    <w:p w:rsidR="002F6506" w:rsidP="002F6506" w:rsidRDefault="002F6506">
      <w:pPr>
        <w:pStyle w:val="ListParagraph"/>
        <w:numPr>
          <w:ilvl w:val="0"/>
          <w:numId w:val="15"/>
        </w:numPr>
        <w:spacing w:before="240" w:after="240"/>
        <w:rPr>
          <w:rFonts w:ascii="Arial" w:hAnsi="Arial" w:eastAsia="Arial" w:cs="Arial"/>
          <w:color w:val="000000" w:themeColor="text1"/>
          <w:lang w:val="es-ES"/>
        </w:rPr>
      </w:pPr>
      <w:r w:rsidRPr="732BBE29">
        <w:rPr>
          <w:rFonts w:ascii="Arial" w:hAnsi="Arial" w:eastAsia="Arial" w:cs="Arial"/>
          <w:color w:val="000000" w:themeColor="text1"/>
          <w:lang w:val="en-US"/>
        </w:rPr>
        <w:t xml:space="preserve">Dans quelle mesure les acteurs de la société civile sont-ils capables de renforcer leur autonomie, par exemple en levant leurs propres fonds, en recevant un soutien sous forme de dons et de bénévoles, ou en menant des activités génératrices de revenus ?</w:t>
      </w:r>
    </w:p>
    <w:p w:rsidR="002F6506" w:rsidP="002F6506" w:rsidRDefault="002F6506">
      <w:pPr>
        <w:widowControl w:val="0"/>
        <w:spacing w:after="200" w:line="288" w:lineRule="auto"/>
        <w:rPr>
          <w:rFonts w:ascii="Arial" w:hAnsi="Arial" w:eastAsia="Arial" w:cs="Arial"/>
          <w:b/>
          <w:bCs/>
        </w:rPr>
      </w:pPr>
      <w:r w:rsidRPr="732BBE29">
        <w:rPr>
          <w:rFonts w:ascii="Arial" w:hAnsi="Arial" w:eastAsia="Arial" w:cs="Arial"/>
          <w:b/>
          <w:bCs/>
          <w:lang w:val="en-GB"/>
        </w:rPr>
        <w:t xml:space="preserve">Notation des vignettes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Entièrement paralysant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rPr>
                <w:rFonts w:ascii="Arial" w:hAnsi="Arial" w:eastAsia="Arial" w:cs="Arial"/>
              </w:rPr>
            </w:pPr>
            <w:r w:rsidRPr="51D9F959">
              <w:rPr>
                <w:rFonts w:ascii="Arial" w:hAnsi="Arial" w:eastAsia="Arial" w:cs="Arial"/>
                <w:lang w:val="en-US"/>
              </w:rPr>
              <w:t xml:space="preserve">Le financement est imprévisible, sporadique ou dépend d'une seule source. Les acteurs de la société civile peinent à maintenir leurs activités, ne parviennent pas à retenir leur personnel et manquent de stabilité. Les cycles de financement entraînent des perturbations importantes et il n'y a aucun soutien à la planification à long terme. Les efforts d'autonomie, tels que la collecte de fonds ou le soutien par le bénévolat, sont quasi inexistants.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lastRenderedPageBreak/>
            </w:r>
            <w:r w:rsidRPr="51D9F959">
              <w:rPr>
                <w:rFonts w:ascii="Arial" w:hAnsi="Arial" w:eastAsia="Arial" w:cs="Arial"/>
                <w:b/>
                <w:bCs/>
                <w:lang w:val="es-ES"/>
              </w:rPr>
              <w:t xml:space="preserve">Handicapant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rPr>
                <w:rFonts w:ascii="Arial" w:hAnsi="Arial" w:eastAsia="Arial" w:cs="Arial"/>
              </w:rPr>
            </w:pPr>
            <w:r w:rsidRPr="51D9F959">
              <w:rPr>
                <w:rFonts w:ascii="Arial" w:hAnsi="Arial" w:eastAsia="Arial" w:cs="Arial"/>
                <w:lang w:val="en-US"/>
              </w:rPr>
              <w:t xml:space="preserve">Le financement est insuffisant et distribué de manière irrégulière dans le temps. Les acteurs de la société civile ont du mal à maintenir leurs activités, à produire des résultats programmatiques et à retenir leur personnel. La planification à long terme et la viabilité des programmes sont gravement entravées. Les possibilités d’autonomie, telles que les dons ou le bénévolat, sont très limitées.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Partiellement favorable (3)</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rPr>
                <w:rFonts w:ascii="Arial" w:hAnsi="Arial" w:eastAsia="Arial" w:cs="Arial"/>
              </w:rPr>
            </w:pPr>
            <w:r w:rsidRPr="51D9F959">
              <w:rPr>
                <w:rFonts w:ascii="Arial" w:hAnsi="Arial" w:eastAsia="Arial" w:cs="Arial"/>
                <w:lang w:val="en-US"/>
              </w:rPr>
              <w:t xml:space="preserve">Le financement n'est pas garanti à long terme ou est souvent uniquement lié à des projets. Les acteurs de la société civile peuvent fonctionner et produire des résultats, mais l'extension ou la pérennisation des initiatives reste un défi. Des efforts d'autonomie existent mais ne suffisent pas à assurer la stabilité financière.</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Favorable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rPr>
                <w:rFonts w:ascii="Arial" w:hAnsi="Arial" w:eastAsia="Arial" w:cs="Arial"/>
                <w:lang w:val="es-ES"/>
              </w:rPr>
            </w:pPr>
            <w:r w:rsidRPr="51D9F959">
              <w:rPr>
                <w:rFonts w:ascii="Arial" w:hAnsi="Arial" w:eastAsia="Arial" w:cs="Arial"/>
                <w:lang w:val="en-US"/>
              </w:rPr>
              <w:t xml:space="preserve">Le financement est stable et diversifié. Un financement de base est disponible, ce qui permet une planification à long terme et la fidélisation du personnel. Les acteurs de la société civile peuvent compléter ce financement par des dons, du bénévolat ou des activités génératrices de revenus.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Entièrement favorable (5)</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rPr>
                <w:rFonts w:ascii="Arial" w:hAnsi="Arial" w:eastAsia="Arial" w:cs="Arial"/>
                <w:lang w:val="es-ES"/>
              </w:rPr>
            </w:pPr>
            <w:r w:rsidRPr="51D9F959">
              <w:rPr>
                <w:rFonts w:ascii="Arial" w:hAnsi="Arial" w:eastAsia="Arial" w:cs="Arial"/>
                <w:lang w:val="en-US"/>
              </w:rPr>
              <w:t xml:space="preserve">Le financement est prévisible, diversifié et à long terme. Les acteurs de la société civile maintiennent une stabilité opérationnelle, développent efficacement leurs activités et obtiennent un impact durable. De solides mécanismes d’autonomie, tels que la collecte de fonds et les réseaux de bénévoles, contribuent à la résilience financière.</w:t>
            </w:r>
          </w:p>
        </w:tc>
      </w:tr>
    </w:tbl>
    <w:p w:rsidR="002F6506" w:rsidP="002F6506" w:rsidRDefault="002F6506">
      <w:pPr>
        <w:rPr>
          <w:rFonts w:ascii="Arial" w:hAnsi="Arial" w:eastAsia="Arial" w:cs="Arial"/>
          <w:color w:val="000000" w:themeColor="text1"/>
        </w:rPr>
      </w:pPr>
    </w:p>
    <w:p w:rsidR="002F6506" w:rsidP="002F6506" w:rsidRDefault="002F6506">
      <w:pPr>
        <w:spacing w:after="200" w:line="288" w:lineRule="auto"/>
        <w:rPr>
          <w:rFonts w:ascii="Arial" w:hAnsi="Arial" w:eastAsia="Arial" w:cs="Arial"/>
          <w:color w:val="2E74B5" w:themeColor="accent1" w:themeShade="BF"/>
        </w:rPr>
      </w:pPr>
      <w:r w:rsidRPr="2C5C2622">
        <w:rPr>
          <w:rFonts w:ascii="Arial" w:hAnsi="Arial" w:eastAsia="Arial" w:cs="Arial"/>
          <w:b/>
          <w:bCs/>
          <w:color w:val="2E74B5" w:themeColor="accent1" w:themeShade="BF"/>
          <w:lang w:val="en-GB"/>
        </w:rPr>
        <w:t xml:space="preserve">Questions guides pour le principe 4 : </w:t>
      </w:r>
      <w:r w:rsidRPr="2C5C2622">
        <w:rPr>
          <w:rFonts w:ascii="Arial" w:hAnsi="Arial" w:eastAsia="Arial" w:cs="Arial"/>
          <w:color w:val="2E74B5" w:themeColor="accent1" w:themeShade="BF"/>
          <w:lang w:val="en-GB"/>
        </w:rPr>
        <w:t xml:space="preserve">un État ouvert et réactif</w:t>
      </w:r>
    </w:p>
    <w:p w:rsidR="002F6506" w:rsidP="002F6506" w:rsidRDefault="002F6506">
      <w:pPr>
        <w:spacing w:after="0" w:line="240" w:lineRule="auto"/>
        <w:rPr>
          <w:rFonts w:ascii="Arial" w:hAnsi="Arial" w:eastAsia="Arial" w:cs="Arial"/>
          <w:b/>
          <w:bCs/>
        </w:rPr>
      </w:pPr>
      <w:r w:rsidRPr="2C5C2622">
        <w:rPr>
          <w:rFonts w:ascii="Arial" w:hAnsi="Arial" w:eastAsia="Arial" w:cs="Arial"/>
          <w:b/>
          <w:bCs/>
          <w:lang w:val="en-GB"/>
        </w:rPr>
        <w:t xml:space="preserve">4.1 | Transparence</w:t>
      </w:r>
    </w:p>
    <w:p w:rsidR="002F6506" w:rsidP="002F6506" w:rsidRDefault="002F6506">
      <w:pPr>
        <w:spacing w:after="0" w:line="240" w:lineRule="auto"/>
        <w:rPr>
          <w:rFonts w:ascii="Arial" w:hAnsi="Arial" w:eastAsia="Arial" w:cs="Arial"/>
          <w:b/>
          <w:bCs/>
        </w:rPr>
      </w:pPr>
    </w:p>
    <w:p w:rsidR="002F6506" w:rsidP="002F6506" w:rsidRDefault="002F6506">
      <w:pPr>
        <w:spacing w:after="0" w:line="240" w:lineRule="auto"/>
        <w:rPr>
          <w:rFonts w:ascii="Arial" w:hAnsi="Arial" w:eastAsia="Arial" w:cs="Arial"/>
        </w:rPr>
      </w:pPr>
      <w:r w:rsidRPr="2C5C2622">
        <w:rPr>
          <w:rFonts w:ascii="Arial" w:hAnsi="Arial" w:eastAsia="Arial" w:cs="Arial"/>
          <w:lang w:val="en-GB"/>
        </w:rPr>
        <w:t xml:space="preserve">Questions :</w:t>
      </w:r>
    </w:p>
    <w:p w:rsidR="002F6506" w:rsidP="002F6506" w:rsidRDefault="002F6506">
      <w:pPr>
        <w:pStyle w:val="ListParagraph"/>
        <w:numPr>
          <w:ilvl w:val="0"/>
          <w:numId w:val="8"/>
        </w:numPr>
        <w:spacing w:before="240" w:after="240" w:line="240" w:lineRule="auto"/>
        <w:rPr>
          <w:rFonts w:ascii="Arial" w:hAnsi="Arial" w:eastAsia="Arial" w:cs="Arial"/>
        </w:rPr>
      </w:pPr>
      <w:r w:rsidRPr="2C5C2622">
        <w:rPr>
          <w:rFonts w:ascii="Arial" w:hAnsi="Arial" w:eastAsia="Arial" w:cs="Arial"/>
        </w:rPr>
        <w:t xml:space="preserve">Le cadre juridique aux niveaux national, provincial et local reconnaît-il le droit de tous les individus et de toutes les organisations d’accéder aux informations détenues par les institutions publiques ou les entités privées exerçant des fonctions publiques ? Ces informations sont-elles publiées de manière proactive, en temps opportun, et rendues accessibles sur des plateformes numériques et en ligne ?</w:t>
      </w:r>
    </w:p>
    <w:p w:rsidR="002F6506" w:rsidP="002F6506" w:rsidRDefault="002F6506">
      <w:pPr>
        <w:pStyle w:val="ListParagraph"/>
        <w:numPr>
          <w:ilvl w:val="0"/>
          <w:numId w:val="8"/>
        </w:numPr>
        <w:spacing w:before="240" w:after="240" w:line="240" w:lineRule="auto"/>
        <w:rPr>
          <w:rFonts w:ascii="Arial" w:hAnsi="Arial" w:eastAsia="Arial" w:cs="Arial"/>
        </w:rPr>
      </w:pPr>
      <w:r w:rsidRPr="2C5C2622">
        <w:rPr>
          <w:rFonts w:ascii="Arial" w:hAnsi="Arial" w:eastAsia="Arial" w:cs="Arial"/>
        </w:rPr>
        <w:t xml:space="preserve">Les institutions publiques sont-elles légalement tenues de publier des informations complètes sur la prise de décision, telles que les projets de loi, les politiques, les budgets et les rapports d'audit, en temps opportun et dans des formats accessibles ?</w:t>
      </w:r>
    </w:p>
    <w:p w:rsidR="002F6506" w:rsidP="002F6506" w:rsidRDefault="002F6506">
      <w:pPr>
        <w:pStyle w:val="ListParagraph"/>
        <w:numPr>
          <w:ilvl w:val="0"/>
          <w:numId w:val="8"/>
        </w:numPr>
        <w:spacing w:before="240" w:after="240" w:line="240" w:lineRule="auto"/>
        <w:rPr>
          <w:rFonts w:ascii="Arial" w:hAnsi="Arial" w:eastAsia="Arial" w:cs="Arial"/>
        </w:rPr>
      </w:pPr>
      <w:r w:rsidRPr="2C5C2622">
        <w:rPr>
          <w:rFonts w:ascii="Arial" w:hAnsi="Arial" w:eastAsia="Arial" w:cs="Arial"/>
        </w:rPr>
        <w:t xml:space="preserve">Existe-t-il des procédures claires, simples et accessibles pour déposer des demandes d'accès à l'information, comprenant des frais raisonnables ou des exonérations pour les groupes vulnérables, et les demandes sont-elles systématiquement traitées dans les délais légaux ?</w:t>
      </w:r>
    </w:p>
    <w:p w:rsidR="002F6506" w:rsidP="002F6506" w:rsidRDefault="002F6506">
      <w:pPr>
        <w:pStyle w:val="ListParagraph"/>
        <w:numPr>
          <w:ilvl w:val="0"/>
          <w:numId w:val="8"/>
        </w:numPr>
        <w:spacing w:before="240" w:after="240" w:line="240" w:lineRule="auto"/>
        <w:rPr>
          <w:rFonts w:ascii="Arial" w:hAnsi="Arial" w:eastAsia="Arial" w:cs="Arial"/>
        </w:rPr>
      </w:pPr>
      <w:r w:rsidRPr="2C5C2622">
        <w:rPr>
          <w:rFonts w:ascii="Arial" w:hAnsi="Arial" w:eastAsia="Arial" w:cs="Arial"/>
        </w:rPr>
        <w:t xml:space="preserve">Existe-t-il des protections juridiques contre le refus injustifié d'accès à l'information, y compris des justifications claires des restrictions, des mécanismes de recours et des sanctions en cas de non-respect ?</w:t>
      </w:r>
    </w:p>
    <w:p w:rsidR="002F6506" w:rsidP="002F6506" w:rsidRDefault="002F6506">
      <w:pPr>
        <w:spacing w:after="0" w:line="240" w:lineRule="auto"/>
        <w:rPr>
          <w:rFonts w:ascii="Arial" w:hAnsi="Arial" w:eastAsia="Arial" w:cs="Arial"/>
          <w:b/>
          <w:bCs/>
        </w:rPr>
      </w:pPr>
    </w:p>
    <w:p w:rsidR="002F6506" w:rsidP="002F6506" w:rsidRDefault="002F6506">
      <w:pPr>
        <w:spacing w:after="200" w:line="288" w:lineRule="auto"/>
        <w:rPr>
          <w:rFonts w:ascii="Arial" w:hAnsi="Arial" w:eastAsia="Arial" w:cs="Arial"/>
          <w:b/>
          <w:bCs/>
        </w:rPr>
      </w:pPr>
      <w:r w:rsidRPr="2C5C2622">
        <w:rPr>
          <w:rFonts w:ascii="Arial" w:hAnsi="Arial" w:eastAsia="Arial" w:cs="Arial"/>
          <w:b/>
          <w:bCs/>
          <w:lang w:val="en-GB"/>
        </w:rPr>
        <w:t xml:space="preserve">Grille d'évaluation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Totalement invalidant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Pr>
            <w:r w:rsidRPr="2C5C2622">
              <w:rPr>
                <w:rFonts w:ascii="Arial" w:hAnsi="Arial" w:eastAsia="Arial" w:cs="Arial"/>
                <w:lang w:val="en-US"/>
              </w:rPr>
              <w:t xml:space="preserve">Il n'existe aucune obligation légale pour les institutions publiques de publier des informations relatives à leur processus décisionnel, ou celle-ci n'est pas appliquée.</w:t>
            </w:r>
            <w:r w:rsidRPr="2C5C2622">
              <w:rPr>
                <w:rFonts w:ascii="Arial" w:hAnsi="Arial" w:eastAsia="Arial" w:cs="Arial"/>
                <w:lang w:val="en-US"/>
              </w:rPr>
              <w:lastRenderedPageBreak/>
            </w:r>
            <w:r w:rsidRPr="2C5C2622">
              <w:rPr>
                <w:rFonts w:ascii="Arial" w:hAnsi="Arial" w:eastAsia="Arial" w:cs="Arial"/>
                <w:lang w:val="en-US"/>
              </w:rPr>
              <w:t xml:space="preserve"> Les informations publiques ne sont pas publiées en temps opportun ou ne sont pas facilement accessibles. Le droit d'accès à l'information n'est pas reconnu. Il n'existe aucune procédure pour déposer des demandes d'accès à l'information, ou les demandes sont ignorées.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lastRenderedPageBreak/>
            </w:r>
            <w:r w:rsidRPr="2C5C2622">
              <w:rPr>
                <w:rFonts w:ascii="Arial" w:hAnsi="Arial" w:eastAsia="Arial" w:cs="Arial"/>
                <w:b/>
                <w:bCs/>
                <w:color w:val="000000" w:themeColor="text1"/>
                <w:lang w:val="en"/>
              </w:rPr>
              <w:t xml:space="preserve">Obstacle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Pr>
            <w:r w:rsidRPr="2C5C2622">
              <w:rPr>
                <w:rFonts w:ascii="Arial" w:hAnsi="Arial" w:eastAsia="Arial" w:cs="Arial"/>
                <w:lang w:val="en-US"/>
              </w:rPr>
              <w:t xml:space="preserve">Le cadre juridique reconnaît un droit limité d'accès à l'information, mais avec de sévères restrictions quant à l'éventail des personnes/organisations pouvant accéder à l'information, aux types d'institutions tenues de fournir des informations et aux procédures d'accès à l'information. Les procédures de dépôt des demandes d'accès à l'information sont floues ou inaccessibles.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Partiellement favorable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Bdr>
                <w:top w:val="nil"/>
                <w:left w:val="nil"/>
                <w:bottom w:val="nil"/>
                <w:right w:val="nil"/>
                <w:between w:val="nil"/>
              </w:pBdr>
            </w:pPr>
            <w:r w:rsidRPr="2C5C2622">
              <w:rPr>
                <w:rFonts w:ascii="Arial" w:hAnsi="Arial" w:eastAsia="Arial" w:cs="Arial"/>
                <w:lang w:val="en-US"/>
              </w:rPr>
              <w:t xml:space="preserve">Des exigences légales existent en matière de publication des informations publiques, mais leur mise en œuvre est inégale. Certaines informations sont disponibles, mais pas toujours en temps opportun, en ligne ou en plusieurs langues. Des procédures d’accès à l’information existent, mais elles sont complexes et donnent lieu à des retards ou à des réponses incomplètes. Les justifications des restrictions ne sont pas toujours transparentes.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Favorable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Bdr>
                <w:top w:val="nil"/>
                <w:left w:val="nil"/>
                <w:bottom w:val="nil"/>
                <w:right w:val="nil"/>
                <w:between w:val="nil"/>
              </w:pBdr>
            </w:pPr>
            <w:r w:rsidRPr="2C5C2622">
              <w:rPr>
                <w:rFonts w:ascii="Arial" w:hAnsi="Arial" w:eastAsia="Arial" w:cs="Arial"/>
                <w:lang w:val="en-US"/>
              </w:rPr>
              <w:t xml:space="preserve">Les informations publiques sont généralement disponibles en temps opportun, y compris au niveau local. Le cadre juridique reconnaît le droit d'accès à l'information et les procédures de demande d'accès à l'information sont claires. Certaines incohérences subsistent en matière d'accessibilité. Les demandes d'accès à l'information sont parfois retardées ou rejetées, en particulier pour les groupes marginalisés.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Entièrement favorable (5)</w:t>
            </w:r>
            <w:r>
              <w:br/>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Bdr>
                <w:top w:val="nil"/>
                <w:left w:val="nil"/>
                <w:bottom w:val="nil"/>
                <w:right w:val="nil"/>
                <w:between w:val="nil"/>
              </w:pBdr>
            </w:pPr>
            <w:r w:rsidRPr="2C5C2622">
              <w:rPr>
                <w:rFonts w:ascii="Arial" w:hAnsi="Arial" w:eastAsia="Arial" w:cs="Arial"/>
                <w:lang w:val="en-US"/>
              </w:rPr>
              <w:t xml:space="preserve">Les exigences légales garantissent la publication complète et en temps opportun des informations publiques dans des formats accessibles. Le droit d'accès à l'information est pleinement reconnu à tous les niveaux (local/national). Les demandes d'accès à l'information sont traitées efficacement, avec des mécanismes de recours clairs et des sanctions en cas de non-respect. Les institutions publiques traitent systématiquement les demandes d'accès à l'information dans les délais légaux, en fournissant des informations complètes, précises et pertinentes. Il existe des procédures claires et simples sur la manière d'accéder à l'information et de faire appel en cas de refus.</w:t>
            </w:r>
          </w:p>
        </w:tc>
      </w:tr>
    </w:tbl>
    <w:p w:rsidR="002F6506" w:rsidP="002F6506" w:rsidRDefault="002F6506">
      <w:pPr>
        <w:spacing w:after="0" w:line="240" w:lineRule="auto"/>
        <w:rPr>
          <w:rFonts w:ascii="Arial" w:hAnsi="Arial" w:eastAsia="Arial" w:cs="Arial"/>
          <w:b/>
          <w:bCs/>
        </w:rPr>
      </w:pPr>
    </w:p>
    <w:p w:rsidR="002F6506" w:rsidP="002F6506" w:rsidRDefault="002F6506">
      <w:pPr>
        <w:spacing w:after="0" w:line="240" w:lineRule="auto"/>
        <w:rPr>
          <w:rFonts w:ascii="Arial" w:hAnsi="Arial" w:eastAsia="Arial" w:cs="Arial"/>
          <w:b/>
          <w:bCs/>
        </w:rPr>
      </w:pPr>
      <w:r w:rsidRPr="2C5C2622">
        <w:rPr>
          <w:rFonts w:ascii="Arial" w:hAnsi="Arial" w:eastAsia="Arial" w:cs="Arial"/>
          <w:b/>
          <w:bCs/>
          <w:lang w:val="en-GB"/>
        </w:rPr>
        <w:t xml:space="preserve">4.2 | Participation</w:t>
      </w:r>
    </w:p>
    <w:p w:rsidR="002F6506" w:rsidP="002F6506" w:rsidRDefault="002F6506">
      <w:pPr>
        <w:spacing w:after="0" w:line="240" w:lineRule="auto"/>
        <w:rPr>
          <w:rFonts w:ascii="Arial" w:hAnsi="Arial" w:eastAsia="Arial" w:cs="Arial"/>
        </w:rPr>
      </w:pPr>
    </w:p>
    <w:p w:rsidR="002F6506" w:rsidP="002F6506" w:rsidRDefault="002F6506">
      <w:pPr>
        <w:spacing w:after="0" w:line="240" w:lineRule="auto"/>
        <w:rPr>
          <w:rFonts w:ascii="Arial" w:hAnsi="Arial" w:eastAsia="Arial" w:cs="Arial"/>
        </w:rPr>
      </w:pPr>
      <w:r w:rsidRPr="2C5C2622">
        <w:rPr>
          <w:rFonts w:ascii="Arial" w:hAnsi="Arial" w:eastAsia="Arial" w:cs="Arial"/>
          <w:lang w:val="en-GB"/>
        </w:rPr>
        <w:t xml:space="preserve">Questions :</w:t>
      </w:r>
    </w:p>
    <w:p w:rsidR="002F6506" w:rsidP="002F6506" w:rsidRDefault="002F6506">
      <w:pPr>
        <w:pStyle w:val="ListParagraph"/>
        <w:numPr>
          <w:ilvl w:val="0"/>
          <w:numId w:val="7"/>
        </w:numPr>
        <w:spacing w:before="240" w:after="240" w:line="240" w:lineRule="auto"/>
        <w:rPr>
          <w:rFonts w:ascii="Arial" w:hAnsi="Arial" w:eastAsia="Arial" w:cs="Arial"/>
        </w:rPr>
      </w:pPr>
      <w:r w:rsidRPr="2C5C2622">
        <w:rPr>
          <w:rFonts w:ascii="Arial" w:hAnsi="Arial" w:eastAsia="Arial" w:cs="Arial"/>
        </w:rPr>
        <w:t xml:space="preserve">Dans quelle mesure les acteurs de la société civile sont-ils consultés par les décideurs et les dirigeants politiques sur les politiques et les décisions relevant de leurs domaines d'expertise et de leurs mandants ? Les acteurs de la société civile ont-ils la possibilité d'influencer de manière significative la prise de décision, ou sont-ils uniquement consultés à titre formel ?</w:t>
      </w:r>
    </w:p>
    <w:p w:rsidR="002F6506" w:rsidP="002F6506" w:rsidRDefault="002F6506">
      <w:pPr>
        <w:pStyle w:val="ListParagraph"/>
        <w:numPr>
          <w:ilvl w:val="0"/>
          <w:numId w:val="7"/>
        </w:numPr>
        <w:spacing w:before="240" w:after="240" w:line="240" w:lineRule="auto"/>
        <w:rPr>
          <w:rFonts w:ascii="Arial" w:hAnsi="Arial" w:eastAsia="Arial" w:cs="Arial"/>
        </w:rPr>
      </w:pPr>
      <w:r w:rsidRPr="2C5C2622">
        <w:rPr>
          <w:rFonts w:ascii="Arial" w:hAnsi="Arial" w:eastAsia="Arial" w:cs="Arial"/>
        </w:rPr>
        <w:t xml:space="preserve">Les acteurs de la société civile peuvent-ils participer aux consultations sans discrimination, qu’elle soit fondée sur le type d’acteur ou sur ses positions vis-à-vis du gouvernement ?</w:t>
      </w:r>
    </w:p>
    <w:p w:rsidR="002F6506" w:rsidP="002F6506" w:rsidRDefault="002F6506">
      <w:pPr>
        <w:pStyle w:val="ListParagraph"/>
        <w:numPr>
          <w:ilvl w:val="0"/>
          <w:numId w:val="7"/>
        </w:numPr>
        <w:spacing w:before="240" w:after="240" w:line="240" w:lineRule="auto"/>
        <w:rPr>
          <w:rFonts w:ascii="Arial" w:hAnsi="Arial" w:eastAsia="Arial" w:cs="Arial"/>
        </w:rPr>
      </w:pPr>
      <w:r w:rsidRPr="2C5C2622">
        <w:rPr>
          <w:rFonts w:ascii="Arial" w:hAnsi="Arial" w:eastAsia="Arial" w:cs="Arial"/>
        </w:rPr>
        <w:t xml:space="preserve">Les acteurs de la société civile sont-ils invités à contribuer au processus décisionnel dès les premières étapes et disposent-ils d'un délai suffisant pour apporter leur contribution ? Le temps alloué aux acteurs de la société civile est-il suffisant pour qu'ils puissent fournir un retour d'information constructif, ou leur participation est-elle traitée comme un exercice de dernière minute ?</w:t>
      </w:r>
    </w:p>
    <w:p w:rsidR="002F6506" w:rsidP="002F6506" w:rsidRDefault="002F6506">
      <w:pPr>
        <w:pStyle w:val="ListParagraph"/>
        <w:numPr>
          <w:ilvl w:val="0"/>
          <w:numId w:val="7"/>
        </w:numPr>
        <w:spacing w:before="240" w:after="240" w:line="240" w:lineRule="auto"/>
        <w:rPr>
          <w:rFonts w:ascii="Arial" w:hAnsi="Arial" w:eastAsia="Arial" w:cs="Arial"/>
        </w:rPr>
      </w:pPr>
      <w:r w:rsidRPr="2C5C2622">
        <w:rPr>
          <w:rFonts w:ascii="Arial" w:hAnsi="Arial" w:eastAsia="Arial" w:cs="Arial"/>
        </w:rPr>
        <w:t xml:space="preserve">Quels types de possibilités de participation sont disponibles (en ligne, en personne ou les deux), et ces options sont-elles accessibles et efficaces pour les acteurs de la société civile ?</w:t>
      </w:r>
    </w:p>
    <w:p w:rsidR="002F6506" w:rsidP="002F6506" w:rsidRDefault="002F6506">
      <w:pPr>
        <w:spacing w:before="240" w:after="240" w:line="240" w:lineRule="auto"/>
        <w:rPr>
          <w:rFonts w:ascii="Arial" w:hAnsi="Arial" w:eastAsia="Arial" w:cs="Arial"/>
          <w:b/>
          <w:bCs/>
        </w:rPr>
      </w:pPr>
      <w:r w:rsidRPr="2C5C2622">
        <w:rPr>
          <w:rFonts w:ascii="Arial" w:hAnsi="Arial" w:eastAsia="Arial" w:cs="Arial"/>
          <w:b/>
          <w:bCs/>
          <w:lang w:val="en-GB"/>
        </w:rPr>
        <w:t xml:space="preserve">Grille d'évaluation :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lastRenderedPageBreak/>
            </w:r>
            <w:r w:rsidRPr="2C5C2622">
              <w:rPr>
                <w:rFonts w:ascii="Arial" w:hAnsi="Arial" w:eastAsia="Arial" w:cs="Arial"/>
                <w:b/>
                <w:bCs/>
                <w:color w:val="000000" w:themeColor="text1"/>
                <w:lang w:val="en"/>
              </w:rPr>
              <w:t xml:space="preserve">Totalement invalidant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Pr>
            <w:r w:rsidRPr="2C5C2622">
              <w:rPr>
                <w:rFonts w:ascii="Arial" w:hAnsi="Arial" w:eastAsia="Arial" w:cs="Arial"/>
                <w:lang w:val="en-US"/>
              </w:rPr>
              <w:t xml:space="preserve">Les acteurs de la société civile n'ont aucune possibilité de participer aux processus décisionnels. Ils sont exclus des consultations et leurs contributions ne sont pas prises en compte. Même si la participation est possible, les acteurs de la société civile sont soumis à de sévères restrictions quant à la liberté d'exprimer leurs opinions ou d'influencer les décisions.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Limitation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Pr>
            <w:r w:rsidRPr="2C5C2622">
              <w:rPr>
                <w:rFonts w:ascii="Arial" w:hAnsi="Arial" w:eastAsia="Arial" w:cs="Arial"/>
                <w:lang w:val="en-US"/>
              </w:rPr>
              <w:t xml:space="preserve">Les acteurs de la société civile participent rarement aux processus décisionnels concernant leurs membres. Ils sont rarement et de manière irrégulière consultés par les décideurs politiques dans le cadre des processus décisionnels. Les consultations sont très sélectives et exclusives, et les acteurs de la société civile sont victimes d’une discrimination importante en raison de leur nature ou de leur position vis-à-vis du gouvernement, beaucoup d’entre eux étant exclus des consultations. Les consultations ont lieu à la dernière minute, laissant peu ou pas de temps pour formuler des commentaires.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Partiellement favorable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Bdr>
                <w:top w:val="nil"/>
                <w:left w:val="nil"/>
                <w:bottom w:val="nil"/>
                <w:right w:val="nil"/>
                <w:between w:val="nil"/>
              </w:pBdr>
            </w:pPr>
            <w:r w:rsidRPr="2C5C2622">
              <w:rPr>
                <w:rFonts w:ascii="Arial" w:hAnsi="Arial" w:eastAsia="Arial" w:cs="Arial"/>
                <w:lang w:val="en-US"/>
              </w:rPr>
              <w:t xml:space="preserve">Les acteurs de la société civile sont parfois consultés, mais de manière limitée, et leur participation est souvent sélective. Certaines formes de discrimination persistent en fonction de leur type ou de leur position vis-à-vis du gouvernement, ce qui conduit à l'exclusion de certains acteurs de la société civile. Bien que les acteurs de la société civile puissent être invités à contribuer, ils ne disposent pas d'un délai suffisant pour apporter une contribution complète. La participation peut être superficielle.</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Favorable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Bdr>
                <w:top w:val="nil"/>
                <w:left w:val="nil"/>
                <w:bottom w:val="nil"/>
                <w:right w:val="nil"/>
                <w:between w:val="nil"/>
              </w:pBdr>
            </w:pPr>
            <w:r w:rsidRPr="2C5C2622">
              <w:rPr>
                <w:rFonts w:ascii="Arial" w:hAnsi="Arial" w:eastAsia="Arial" w:cs="Arial"/>
                <w:lang w:val="en-US"/>
              </w:rPr>
              <w:t xml:space="preserve">Les acteurs de la société civile sont généralement associés aux processus décisionnels et peuvent y participer dans des conditions raisonnables d'inclusion et d'équité. Des efforts sont déployés pour impliquer un large éventail d'acteurs de la société civile, et la plupart d'entre eux sont en mesure d'apporter leur contribution sans subir de discrimination notable. Toutefois, on observe parfois des contraintes de temps pour formuler des commentaires ou un manque d'espace pour apporter une contribution significative. Les acteurs de la société civile peuvent participer dès le début du processus, mais leurs contributions peuvent néanmoins rester limitées, et les modalités de participation peuvent varier (par exemple, certains espaces en ligne peuvent restreindre la participation).</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Pleine habilitation (5)</w:t>
            </w:r>
            <w:r>
              <w:br/>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Bdr>
                <w:top w:val="nil"/>
                <w:left w:val="nil"/>
                <w:bottom w:val="nil"/>
                <w:right w:val="nil"/>
                <w:between w:val="nil"/>
              </w:pBdr>
            </w:pPr>
            <w:r w:rsidRPr="2C5C2622">
              <w:rPr>
                <w:rFonts w:ascii="Arial" w:hAnsi="Arial" w:eastAsia="Arial" w:cs="Arial"/>
                <w:lang w:val="en-US"/>
              </w:rPr>
              <w:t xml:space="preserve">Les acteurs de la société civile participent régulièrement et ouvertement à la prise de décision, grâce à des mécanismes solides mis en place pour garantir la prise en compte de leurs perspectives diverses. Des efforts globaux sont déployés pour inclure tous les types d’acteurs de la société civile, et la participation est exempte de discrimination ou d’intimidation. Les acteurs de la société civile sont invités à contribuer dès les premières étapes et disposent de suffisamment de temps pour apporter une contribution significative. La participation en ligne et en personne est accessible et offre des possibilités d’engagement efficaces, garantissant qu’aucun groupe n’est marginalisé.</w:t>
            </w:r>
          </w:p>
        </w:tc>
      </w:tr>
    </w:tbl>
    <w:p w:rsidR="002F6506" w:rsidP="002F6506" w:rsidRDefault="002F6506">
      <w:pPr>
        <w:spacing w:after="0" w:line="240" w:lineRule="auto"/>
        <w:rPr>
          <w:rFonts w:ascii="Arial" w:hAnsi="Arial" w:eastAsia="Arial" w:cs="Arial"/>
          <w:b/>
          <w:bCs/>
        </w:rPr>
      </w:pPr>
    </w:p>
    <w:p w:rsidR="002F6506" w:rsidP="002F6506" w:rsidRDefault="002F6506">
      <w:pPr>
        <w:spacing w:after="0" w:line="240" w:lineRule="auto"/>
        <w:rPr>
          <w:rFonts w:ascii="Arial" w:hAnsi="Arial" w:eastAsia="Arial" w:cs="Arial"/>
          <w:b/>
          <w:bCs/>
        </w:rPr>
      </w:pPr>
      <w:r w:rsidRPr="2C5C2622">
        <w:rPr>
          <w:rFonts w:ascii="Arial" w:hAnsi="Arial" w:eastAsia="Arial" w:cs="Arial"/>
          <w:b/>
          <w:bCs/>
          <w:lang w:val="en-GB"/>
        </w:rPr>
        <w:t xml:space="preserve">4.3 | Responsabilité</w:t>
      </w:r>
    </w:p>
    <w:p w:rsidR="002F6506" w:rsidP="002F6506" w:rsidRDefault="002F6506">
      <w:pPr>
        <w:spacing w:after="0" w:line="240" w:lineRule="auto"/>
        <w:rPr>
          <w:rFonts w:ascii="Arial" w:hAnsi="Arial" w:eastAsia="Arial" w:cs="Arial"/>
          <w:b/>
          <w:bCs/>
          <w:color w:val="2E74B5" w:themeColor="accent1" w:themeShade="BF"/>
        </w:rPr>
      </w:pPr>
    </w:p>
    <w:p w:rsidR="002F6506" w:rsidP="002F6506" w:rsidRDefault="002F6506">
      <w:pPr>
        <w:spacing w:after="200" w:line="288" w:lineRule="auto"/>
        <w:rPr>
          <w:rFonts w:ascii="Arial" w:hAnsi="Arial" w:eastAsia="Arial" w:cs="Arial"/>
        </w:rPr>
      </w:pPr>
      <w:r w:rsidRPr="2C5C2622">
        <w:rPr>
          <w:rFonts w:ascii="Arial" w:hAnsi="Arial" w:eastAsia="Arial" w:cs="Arial"/>
          <w:lang w:val="en-GB"/>
        </w:rPr>
        <w:t xml:space="preserve">Questions :</w:t>
      </w:r>
    </w:p>
    <w:p w:rsidR="002F6506" w:rsidP="002F6506" w:rsidRDefault="002F6506">
      <w:pPr>
        <w:pStyle w:val="ListParagraph"/>
        <w:numPr>
          <w:ilvl w:val="0"/>
          <w:numId w:val="6"/>
        </w:numPr>
        <w:spacing w:before="240" w:after="240"/>
        <w:rPr>
          <w:rFonts w:ascii="Arial" w:hAnsi="Arial" w:eastAsia="Arial" w:cs="Arial"/>
        </w:rPr>
      </w:pPr>
      <w:r w:rsidRPr="2C5C2622">
        <w:rPr>
          <w:rFonts w:ascii="Arial" w:hAnsi="Arial" w:eastAsia="Arial" w:cs="Arial"/>
        </w:rPr>
        <w:t xml:space="preserve">Dans quelle mesure le gouvernement fournit-il aux acteurs de la société civile un retour d'information détaillé sur la manière dont leurs contributions ont été utilisées dans les processus décisionnels ? Existe-t-il des documents publics ou des rapports sur les résultats des consultations avec les acteurs de la société civile qui expliquent les raisons pour lesquelles le gouvernement a adopté ou ignoré leurs contributions ?</w:t>
      </w:r>
    </w:p>
    <w:p w:rsidR="002F6506" w:rsidP="002F6506" w:rsidRDefault="002F6506">
      <w:pPr>
        <w:pStyle w:val="ListParagraph"/>
        <w:numPr>
          <w:ilvl w:val="0"/>
          <w:numId w:val="6"/>
        </w:numPr>
        <w:spacing w:before="240" w:after="240"/>
        <w:rPr>
          <w:rFonts w:ascii="Arial" w:hAnsi="Arial" w:eastAsia="Arial" w:cs="Arial"/>
        </w:rPr>
      </w:pPr>
      <w:r w:rsidRPr="2C5C2622">
        <w:rPr>
          <w:rFonts w:ascii="Arial" w:hAnsi="Arial" w:eastAsia="Arial" w:cs="Arial"/>
        </w:rPr>
        <w:lastRenderedPageBreak/>
      </w:r>
      <w:r w:rsidRPr="2C5C2622">
        <w:rPr>
          <w:rFonts w:ascii="Arial" w:hAnsi="Arial" w:eastAsia="Arial" w:cs="Arial"/>
        </w:rPr>
        <w:t xml:space="preserve">Si le gouvernement n'adopte pas ou ne prend pas en compte les commentaires fournis par les acteurs de la société civile, existe-t-il une explication claire des raisons de cette décision ? Existe-t-il des moyens pour les acteurs de la société civile de demander des comptes au gouvernement concernant leurs commentaires ?</w:t>
      </w:r>
    </w:p>
    <w:p w:rsidR="002F6506" w:rsidP="002F6506" w:rsidRDefault="002F6506">
      <w:pPr>
        <w:pStyle w:val="ListParagraph"/>
        <w:numPr>
          <w:ilvl w:val="0"/>
          <w:numId w:val="6"/>
        </w:numPr>
        <w:spacing w:before="240" w:after="240"/>
        <w:rPr>
          <w:rFonts w:ascii="Arial" w:hAnsi="Arial" w:eastAsia="Arial" w:cs="Arial"/>
        </w:rPr>
      </w:pPr>
      <w:r w:rsidRPr="2C5C2622">
        <w:rPr>
          <w:rFonts w:ascii="Arial" w:hAnsi="Arial" w:eastAsia="Arial" w:cs="Arial"/>
        </w:rPr>
        <w:t xml:space="preserve">Le gouvernement offre-t-il aux acteurs de la société civile des espaces clairs pour assurer le suivi de l'utilisation de leurs contributions et pour lui demander des comptes sur la manière dont ces retours sont intégrés (ou non) dans les politiques et les décisions ?</w:t>
      </w:r>
    </w:p>
    <w:p w:rsidR="002F6506" w:rsidP="002F6506" w:rsidRDefault="002F6506">
      <w:pPr>
        <w:pStyle w:val="ListParagraph"/>
        <w:numPr>
          <w:ilvl w:val="0"/>
          <w:numId w:val="6"/>
        </w:numPr>
        <w:spacing w:before="240" w:after="240"/>
        <w:rPr>
          <w:rFonts w:ascii="Arial" w:hAnsi="Arial" w:eastAsia="Arial" w:cs="Arial"/>
        </w:rPr>
      </w:pPr>
      <w:r w:rsidRPr="2C5C2622">
        <w:rPr>
          <w:rFonts w:ascii="Arial" w:hAnsi="Arial" w:eastAsia="Arial" w:cs="Arial"/>
        </w:rPr>
        <w:t xml:space="preserve">Existe-t-il un processus ou un espace permettant aux acteurs de la société civile de surveiller et de rendre compte du respect par le gouvernement de ses engagements et de la manière dont leurs contributions sont prises en compte dans le processus décisionnel ?</w:t>
      </w:r>
    </w:p>
    <w:p w:rsidR="002F6506" w:rsidP="002F6506" w:rsidRDefault="002F6506">
      <w:pPr>
        <w:spacing w:after="200" w:line="288" w:lineRule="auto"/>
        <w:rPr>
          <w:rFonts w:ascii="Arial" w:hAnsi="Arial" w:eastAsia="Arial" w:cs="Arial"/>
          <w:b/>
          <w:bCs/>
        </w:rPr>
      </w:pPr>
      <w:r w:rsidRPr="2C5C2622">
        <w:rPr>
          <w:rFonts w:ascii="Arial" w:hAnsi="Arial" w:eastAsia="Arial" w:cs="Arial"/>
          <w:b/>
          <w:bCs/>
          <w:lang w:val="en-GB"/>
        </w:rPr>
        <w:t xml:space="preserve">Vignettes de notation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Totalement inefficace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Pr>
            <w:r w:rsidRPr="2C5C2622">
              <w:rPr>
                <w:rFonts w:ascii="Arial" w:hAnsi="Arial" w:eastAsia="Arial" w:cs="Arial"/>
                <w:lang w:val="en-US"/>
              </w:rPr>
              <w:t xml:space="preserve">Le gouvernement ne fournit aucun retour d'information aux acteurs de la société civile sur la manière dont leurs contributions ont été utilisées dans la prise de décision. Il n'existe aucune documentation publique ni aucun rapport sur les résultats des consultations menées auprès des acteurs de la société civile, ce qui prive ces derniers de tout moyen d'évaluer ou de demander des comptes au gouvernement. Il n'existe aucun moyen pour les acteurs de la société civile de faire appel des décisions ou de suivre l'impact de leurs commentaires.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Invalidant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Pr>
            <w:r w:rsidRPr="2C5C2622">
              <w:rPr>
                <w:rFonts w:ascii="Arial" w:hAnsi="Arial" w:eastAsia="Arial" w:cs="Arial"/>
                <w:lang w:val="en-US"/>
              </w:rPr>
              <w:t xml:space="preserve">Le gouvernement fournit un retour d'information minimal et vague aux acteurs de la société civile, souvent manquant de détails ou de transparence. La documentation publique sur les résultats des consultations des acteurs de la société civile est sporadique et incomplète, ce qui compromet considérablement la responsabilité. Les voies permettant aux acteurs de la société civile de remettre en question ou de contester les décisions du gouvernement concernant leurs contributions sont limitées ou non transparentes.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Partiellement favorable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Bdr>
                <w:top w:val="nil"/>
                <w:left w:val="nil"/>
                <w:bottom w:val="nil"/>
                <w:right w:val="nil"/>
                <w:between w:val="nil"/>
              </w:pBdr>
            </w:pPr>
            <w:r w:rsidRPr="2C5C2622">
              <w:rPr>
                <w:rFonts w:ascii="Arial" w:hAnsi="Arial" w:eastAsia="Arial" w:cs="Arial"/>
                <w:lang w:val="en-US"/>
              </w:rPr>
              <w:t xml:space="preserve">Le gouvernement fournit un certain retour d'information, mais celui-ci est incohérent ou manque de détails. Une documentation publique ou des rapports sur les consultations des acteurs de la société civile existent, mais ne sont ni exhaustifs ni régulièrement mis à jour. Bien que certains mécanismes de responsabilité soient en place, il subsiste des lacunes importantes en matière de transparence et de possibilités pour les acteurs de la société civile d'assurer un suivi ou de contester les décisions concernant l'utilisation de leurs contributions.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Favorable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Bdr>
                <w:top w:val="nil"/>
                <w:left w:val="nil"/>
                <w:bottom w:val="nil"/>
                <w:right w:val="nil"/>
                <w:between w:val="nil"/>
              </w:pBdr>
            </w:pPr>
            <w:r w:rsidRPr="2C5C2622">
              <w:rPr>
                <w:rFonts w:ascii="Arial" w:hAnsi="Arial" w:eastAsia="Arial" w:cs="Arial"/>
                <w:lang w:val="en-US"/>
              </w:rPr>
              <w:t xml:space="preserve">Le gouvernement fournit aux acteurs de la société civile un retour d'information détaillé sur la manière dont leurs contributions ont été utilisées dans les processus décisionnels, bien qu'il puisse y avoir des lacunes occasionnelles. La documentation publique ou les rapports sur les résultats des consultations des acteurs de la société civile sont réguliers, et la plupart des informations pertinentes sont mises à la disposition du public. Il existe des canaux clairs permettant aux acteurs de la société civile de demander des comptes au gouvernement, y compris des espaces pour assurer un suivi et contester les décisions si nécessaire.</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Facilitation totale (5)</w:t>
            </w:r>
            <w:r>
              <w:br/>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Bdr>
                <w:top w:val="nil"/>
                <w:left w:val="nil"/>
                <w:bottom w:val="nil"/>
                <w:right w:val="nil"/>
                <w:between w:val="nil"/>
              </w:pBdr>
            </w:pPr>
            <w:r w:rsidRPr="2C5C2622">
              <w:rPr>
                <w:rFonts w:ascii="Arial" w:hAnsi="Arial" w:eastAsia="Arial" w:cs="Arial"/>
                <w:lang w:val="en-US"/>
              </w:rPr>
              <w:t xml:space="preserve">Le gouvernement fournit systématiquement aux acteurs de la société civile un retour d'information complet et transparent, détaillant la manière dont leurs contributions ont été intégrées dans les processus décisionnels. La documentation et les rapports publics sont exhaustifs, régulièrement mis à jour et accessibles, ce qui garantit un haut niveau de transparence. Les acteurs de la société civile disposent de voies bien établies pour demander des comptes au gouvernement, avec des mécanismes solides leur permettant d'assurer le suivi, de contester les décisions et de surveiller l'impact de leurs contributions.</w:t>
            </w:r>
          </w:p>
        </w:tc>
      </w:tr>
    </w:tbl>
    <w:p w:rsidR="002F6506" w:rsidP="002F6506" w:rsidRDefault="002F6506">
      <w:pPr>
        <w:spacing w:after="0" w:line="240" w:lineRule="auto"/>
        <w:rPr>
          <w:rFonts w:ascii="Arial" w:hAnsi="Arial" w:eastAsia="Arial" w:cs="Arial"/>
          <w:b/>
          <w:bCs/>
          <w:color w:val="2E74B5" w:themeColor="accent1" w:themeShade="BF"/>
        </w:rPr>
      </w:pPr>
    </w:p>
    <w:p w:rsidR="002F6506" w:rsidP="002F6506" w:rsidRDefault="002F6506">
      <w:pPr>
        <w:spacing w:after="0" w:line="240" w:lineRule="auto"/>
        <w:rPr>
          <w:rFonts w:ascii="Arial" w:hAnsi="Arial" w:eastAsia="Arial" w:cs="Arial"/>
          <w:b/>
          <w:bCs/>
          <w:color w:val="2E74B5" w:themeColor="accent1" w:themeShade="BF"/>
        </w:rPr>
      </w:pPr>
    </w:p>
    <w:p w:rsidR="002F6506" w:rsidP="002F6506" w:rsidRDefault="002F6506">
      <w:pPr>
        <w:spacing w:after="0" w:line="240" w:lineRule="auto"/>
        <w:rPr>
          <w:rFonts w:ascii="Arial" w:hAnsi="Arial" w:eastAsia="Arial" w:cs="Arial"/>
          <w:b/>
          <w:bCs/>
          <w:color w:val="2E74B5" w:themeColor="accent1" w:themeShade="BF"/>
        </w:rPr>
      </w:pPr>
      <w:r w:rsidRPr="6B082B04">
        <w:rPr>
          <w:rFonts w:ascii="Arial" w:hAnsi="Arial" w:eastAsia="Arial" w:cs="Arial"/>
          <w:b/>
          <w:bCs/>
          <w:color w:val="2E74B5" w:themeColor="accent1" w:themeShade="BF"/>
          <w:lang w:val="en-GB"/>
        </w:rPr>
        <w:t xml:space="preserve">Questions guides pour le principe 5 : </w:t>
      </w:r>
      <w:r w:rsidRPr="6B082B04">
        <w:rPr>
          <w:rFonts w:eastAsiaTheme="minorEastAsia"/>
          <w:b/>
          <w:bCs/>
          <w:color w:val="2E74B5" w:themeColor="accent1" w:themeShade="BF"/>
          <w:lang w:val="en-GB"/>
        </w:rPr>
        <w:t xml:space="preserve">Culture publique et discours favorables à la société civile</w:t>
      </w:r>
    </w:p>
    <w:p w:rsidR="002F6506" w:rsidP="002F6506" w:rsidRDefault="002F6506">
      <w:pPr>
        <w:spacing w:after="200" w:line="288" w:lineRule="auto"/>
        <w:rPr>
          <w:rFonts w:ascii="Arial" w:hAnsi="Arial" w:eastAsia="Arial" w:cs="Arial"/>
          <w:b/>
          <w:bCs/>
        </w:rPr>
      </w:pPr>
      <w:r w:rsidRPr="6B082B04">
        <w:rPr>
          <w:rFonts w:ascii="Arial" w:hAnsi="Arial" w:eastAsia="Arial" w:cs="Arial"/>
          <w:b/>
          <w:bCs/>
          <w:lang w:val="en-GB"/>
        </w:rPr>
        <w:t xml:space="preserve">5.1 | Discours public et dialogue constructif sur la société civile</w:t>
      </w:r>
    </w:p>
    <w:p w:rsidR="002F6506" w:rsidP="002F6506" w:rsidRDefault="002F6506">
      <w:pPr>
        <w:spacing w:after="200" w:line="288" w:lineRule="auto"/>
        <w:rPr>
          <w:rFonts w:ascii="Arial" w:hAnsi="Arial" w:eastAsia="Arial" w:cs="Arial"/>
        </w:rPr>
      </w:pPr>
      <w:r w:rsidRPr="51D9F959">
        <w:rPr>
          <w:rFonts w:ascii="Arial" w:hAnsi="Arial" w:eastAsia="Arial" w:cs="Arial"/>
          <w:lang w:val="en-GB"/>
        </w:rPr>
        <w:t xml:space="preserve">Questions : </w:t>
      </w:r>
    </w:p>
    <w:p w:rsidR="002F6506" w:rsidP="002F6506" w:rsidRDefault="002F6506">
      <w:pPr>
        <w:pStyle w:val="ListParagraph"/>
        <w:numPr>
          <w:ilvl w:val="0"/>
          <w:numId w:val="14"/>
        </w:numPr>
        <w:spacing w:before="240" w:after="200"/>
        <w:rPr>
          <w:rFonts w:ascii="Arial" w:hAnsi="Arial" w:eastAsia="Arial" w:cs="Arial"/>
          <w:color w:val="000000" w:themeColor="text1"/>
        </w:rPr>
      </w:pPr>
      <w:r w:rsidRPr="732BBE29">
        <w:rPr>
          <w:rFonts w:ascii="Arial" w:hAnsi="Arial" w:eastAsia="Arial" w:cs="Arial"/>
          <w:color w:val="000000" w:themeColor="text1"/>
        </w:rPr>
        <w:t xml:space="preserve">Comment le gouvernement et les dirigeants politiques perçoivent-ils et présentent-ils publiquement le rôle des acteurs de la société civile ? Déterminez s’ils les reconnaissent comme des parties prenantes essentielles ou s’ils les présentent comme des menaces, des acteurs non pertinents ou marginaux.</w:t>
      </w:r>
    </w:p>
    <w:p w:rsidR="002F6506" w:rsidP="002F6506" w:rsidRDefault="002F6506">
      <w:pPr>
        <w:pStyle w:val="ListParagraph"/>
        <w:numPr>
          <w:ilvl w:val="0"/>
          <w:numId w:val="13"/>
        </w:numPr>
        <w:spacing w:before="240" w:after="200"/>
        <w:rPr>
          <w:rFonts w:ascii="Arial" w:hAnsi="Arial" w:eastAsia="Arial" w:cs="Arial"/>
          <w:color w:val="000000" w:themeColor="text1"/>
        </w:rPr>
      </w:pPr>
      <w:r w:rsidRPr="732BBE29">
        <w:rPr>
          <w:rFonts w:ascii="Arial" w:hAnsi="Arial" w:eastAsia="Arial" w:cs="Arial"/>
          <w:color w:val="000000" w:themeColor="text1"/>
        </w:rPr>
        <w:t xml:space="preserve">Comment la couverture médiatique influence-t-elle la perception publique des acteurs de la société civile, et dans quelle mesure met-elle en avant leurs contributions ou amplifie-t-elle les discours négatifs ? Évaluez si les médias favorisent systématiquement la confiance et l’appréciation envers les acteurs de la société civile ou s’ils penchent vers le scepticisme et la méfiance.</w:t>
      </w:r>
    </w:p>
    <w:p w:rsidR="002F6506" w:rsidP="002F6506" w:rsidRDefault="002F6506">
      <w:pPr>
        <w:pStyle w:val="ListParagraph"/>
        <w:numPr>
          <w:ilvl w:val="0"/>
          <w:numId w:val="12"/>
        </w:numPr>
        <w:spacing w:before="240" w:after="200"/>
        <w:rPr>
          <w:rFonts w:ascii="Arial" w:hAnsi="Arial" w:eastAsia="Arial" w:cs="Arial"/>
          <w:color w:val="000000" w:themeColor="text1"/>
        </w:rPr>
      </w:pPr>
      <w:r w:rsidRPr="732BBE29">
        <w:rPr>
          <w:rFonts w:ascii="Arial" w:hAnsi="Arial" w:eastAsia="Arial" w:cs="Arial"/>
          <w:color w:val="000000" w:themeColor="text1"/>
        </w:rPr>
        <w:t xml:space="preserve">Dans quelle mesure le dialogue est-il caractérisé par le respect, l'inclusivité et une attention portée aux solutions fondées sur des données factuelles proposées par les acteurs de la société civile ? À quelle fréquence leurs données et leurs points de vue sont-ils intégrés dans les débats politiques et sociétaux ?</w:t>
      </w:r>
    </w:p>
    <w:p w:rsidR="002F6506" w:rsidP="002F6506" w:rsidRDefault="002F6506">
      <w:pPr>
        <w:pStyle w:val="ListParagraph"/>
        <w:numPr>
          <w:ilvl w:val="0"/>
          <w:numId w:val="11"/>
        </w:numPr>
        <w:spacing w:before="240" w:after="200"/>
        <w:rPr>
          <w:rFonts w:ascii="Arial" w:hAnsi="Arial" w:eastAsia="Arial" w:cs="Arial"/>
          <w:color w:val="000000" w:themeColor="text1"/>
        </w:rPr>
      </w:pPr>
      <w:r w:rsidRPr="732BBE29">
        <w:rPr>
          <w:rFonts w:ascii="Arial" w:hAnsi="Arial" w:eastAsia="Arial" w:cs="Arial"/>
          <w:color w:val="000000" w:themeColor="text1"/>
        </w:rPr>
        <w:t xml:space="preserve">Comment la culture du dialogue public, notamment au sein du gouvernement, des médias et des réseaux sociaux, influe-t-elle sur le rôle des acteurs de la société civile et leur capacité à contribuer à un dialogue constructif ?</w:t>
      </w:r>
    </w:p>
    <w:p w:rsidR="002F6506" w:rsidP="002F6506" w:rsidRDefault="002F6506">
      <w:pPr>
        <w:spacing w:after="200" w:line="288" w:lineRule="auto"/>
        <w:rPr>
          <w:rFonts w:ascii="Arial" w:hAnsi="Arial" w:eastAsia="Arial" w:cs="Arial"/>
          <w:b/>
          <w:bCs/>
        </w:rPr>
      </w:pPr>
      <w:r w:rsidRPr="732BBE29">
        <w:rPr>
          <w:rFonts w:ascii="Arial" w:hAnsi="Arial" w:eastAsia="Arial" w:cs="Arial"/>
          <w:b/>
          <w:bCs/>
          <w:lang w:val="en-GB"/>
        </w:rPr>
        <w:t xml:space="preserve">Notation des vignettes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Totalement préjudiciable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732BBE29">
              <w:rPr>
                <w:rFonts w:ascii="Arial" w:hAnsi="Arial" w:eastAsia="Arial" w:cs="Arial"/>
                <w:lang w:val="en-US"/>
              </w:rPr>
              <w:t xml:space="preserve">Le gouvernement et/ou les responsables politiques présentent systématiquement certains ou la plupart des acteurs de la société civile comme des menaces pour la souveraineté, l’identité ou la stabilité nationales. Les médias diffusent régulièrement des discours négatifs, décrivant les acteurs de la société civile comme indignes de confiance, influencés par l’étranger ou sans rapport avec les priorités nationales. Le dialogue entre les responsables politiques et les autres parties prenantes concernées est caractérisé par l’hostilité, la désinformation et les attaques personnelles. Il n’y a que peu ou pas de respect pour les opinions divergentes. Le discours public général favorise la division et sape la confiance envers les acteurs de la société civile.</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Entrave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6B082B04">
              <w:rPr>
                <w:rFonts w:ascii="Arial" w:hAnsi="Arial" w:eastAsia="Arial" w:cs="Arial"/>
                <w:lang w:val="en-US"/>
              </w:rPr>
              <w:t xml:space="preserve">Certains responsables politiques ou personnalités gouvernementales présentent parfois les OSC comme inutiles ou potentiellement nuisibles aux intérêts nationaux. La couverture médiatique est mitigée mais penche vers le scepticisme, remettant en question les motivations ou l’efficacité du travail de la société civile. Le dialogue politique devient souvent combatif et idéologique, accordant peu d’importance aux arguments fondés sur des preuves. Le discours public tend à favoriser le scepticisme, limitant ainsi le rôle constructif de la société civile.</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Partiellement favorable (3)</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rPr>
                <w:rFonts w:ascii="Arial" w:hAnsi="Arial" w:eastAsia="Arial" w:cs="Arial"/>
                <w:lang w:val="en-US"/>
              </w:rPr>
            </w:pPr>
            <w:r w:rsidRPr="732BBE29">
              <w:rPr>
                <w:rFonts w:ascii="Arial" w:hAnsi="Arial" w:eastAsia="Arial" w:cs="Arial"/>
                <w:lang w:val="en-US"/>
              </w:rPr>
              <w:t xml:space="preserve">Le gouvernement et les responsables politiques reconnaissent en théorie le rôle de la société civile, mais la considèrent en pratique comme marginale par rapport à la gouvernance et au développement national. La couverture médiatique est équilibrée, présentant à la fois des perspectives positives et négatives sans parti pris marqué. Le dialogue politique comporte à la fois des éléments constructifs et destructeurs.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Favorable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732BBE29">
              <w:rPr>
                <w:rFonts w:ascii="Arial" w:hAnsi="Arial" w:eastAsia="Arial" w:cs="Arial"/>
                <w:lang w:val="en-US"/>
              </w:rPr>
              <w:t xml:space="preserve">Le gouvernement et les dirigeants politiques reconnaissent le rôle de la société civile dans la résolution des problèmes sociaux et la promotion du développement national. </w:t>
            </w:r>
            <w:r w:rsidRPr="732BBE29">
              <w:rPr>
                <w:rFonts w:ascii="Arial" w:hAnsi="Arial" w:eastAsia="Arial" w:cs="Arial"/>
                <w:lang w:val="en-US"/>
              </w:rPr>
              <w:t xml:space="preserve">La couverture </w:t>
            </w:r>
            <w:r w:rsidRPr="732BBE29">
              <w:rPr>
                <w:rFonts w:ascii="Arial" w:hAnsi="Arial" w:eastAsia="Arial" w:cs="Arial"/>
                <w:lang w:val="en-US"/>
              </w:rPr>
              <w:t xml:space="preserve">médiatique </w:t>
            </w:r>
            <w:r w:rsidRPr="732BBE29">
              <w:rPr>
                <w:rFonts w:ascii="Arial" w:hAnsi="Arial" w:eastAsia="Arial" w:cs="Arial"/>
                <w:lang w:val="en-US"/>
              </w:rPr>
              <w:t xml:space="preserve">de l’</w:t>
            </w:r>
            <w:r w:rsidRPr="732BBE29">
              <w:rPr>
                <w:rFonts w:ascii="Arial" w:hAnsi="Arial" w:eastAsia="Arial" w:cs="Arial"/>
                <w:lang w:val="en-US"/>
              </w:rPr>
              <w:lastRenderedPageBreak/>
            </w:r>
            <w:r w:rsidRPr="732BBE29">
              <w:rPr>
                <w:rFonts w:ascii="Arial" w:hAnsi="Arial" w:eastAsia="Arial" w:cs="Arial"/>
                <w:lang w:val="en-US"/>
              </w:rPr>
              <w:t xml:space="preserve"> e est largement positive, mettant en avant les contributions des acteurs de la société civile au bien-être de la société et à la résolution des problèmes. Le dialogue politique est généralement respectueux et inclusif, et le discours public se concentre sur des solutions fondées sur des données factuelles. Les contributions des acteurs de la société civile sont appréciées, mais pas toujours sollicitées. Bien que des défis subsistent pour un dialogue constructif, ils sont minimes.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lastRenderedPageBreak/>
            </w:r>
            <w:r w:rsidRPr="51D9F959">
              <w:rPr>
                <w:rFonts w:ascii="Arial" w:hAnsi="Arial" w:eastAsia="Arial" w:cs="Arial"/>
                <w:b/>
                <w:bCs/>
                <w:lang w:val="es-ES"/>
              </w:rPr>
              <w:t xml:space="preserve">Entièrement favorable (5)</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732BBE29">
              <w:rPr>
                <w:rFonts w:ascii="Arial" w:hAnsi="Arial" w:eastAsia="Arial" w:cs="Arial"/>
                <w:lang w:val="en-US"/>
              </w:rPr>
              <w:t xml:space="preserve">Le gouvernement reconnaît activement et sollicite les acteurs de la société civile en tant que parties prenantes essentielles de la gouvernance et du développement. Les médias mettent régulièrement en avant les réussites de la société civile et amplifient leurs causes, favorisant ainsi une large reconnaissance publique. Le dialogue politique se caractérise par le respect mutuel et l’inclusivité, et le discours public met l’accent sur la prise de décision fondée sur des données factuelles.</w:t>
            </w:r>
          </w:p>
        </w:tc>
      </w:tr>
    </w:tbl>
    <w:p w:rsidR="002F6506" w:rsidP="002F6506" w:rsidRDefault="002F6506">
      <w:pPr>
        <w:spacing w:before="240" w:after="240"/>
        <w:rPr>
          <w:rFonts w:ascii="Arial" w:hAnsi="Arial" w:eastAsia="Arial" w:cs="Arial"/>
          <w:b/>
          <w:bCs/>
        </w:rPr>
      </w:pPr>
      <w:r w:rsidRPr="51D9F959">
        <w:rPr>
          <w:rFonts w:ascii="Arial" w:hAnsi="Arial" w:eastAsia="Arial" w:cs="Arial"/>
          <w:b/>
          <w:bCs/>
          <w:lang w:val="en-GB"/>
        </w:rPr>
        <w:t xml:space="preserve">5.2 | Perception de la société civile et de l'engagement civique</w:t>
      </w:r>
    </w:p>
    <w:p w:rsidR="002F6506" w:rsidP="002F6506" w:rsidRDefault="002F6506">
      <w:pPr>
        <w:spacing w:before="240" w:after="200"/>
        <w:rPr>
          <w:rFonts w:ascii="Arial" w:hAnsi="Arial" w:eastAsia="Arial" w:cs="Arial"/>
          <w:b/>
          <w:bCs/>
          <w:color w:val="000000" w:themeColor="text1"/>
        </w:rPr>
      </w:pPr>
      <w:r w:rsidRPr="51D9F959">
        <w:rPr>
          <w:rFonts w:ascii="Arial" w:hAnsi="Arial" w:eastAsia="Arial" w:cs="Arial"/>
          <w:b/>
          <w:bCs/>
          <w:color w:val="000000" w:themeColor="text1"/>
          <w:lang w:val="en-GB"/>
        </w:rPr>
        <w:t xml:space="preserve">Questions : </w:t>
      </w:r>
    </w:p>
    <w:p w:rsidR="002F6506" w:rsidP="002F6506" w:rsidRDefault="002F6506">
      <w:pPr>
        <w:pStyle w:val="ListParagraph"/>
        <w:numPr>
          <w:ilvl w:val="0"/>
          <w:numId w:val="10"/>
        </w:numPr>
        <w:spacing w:before="240" w:after="200"/>
        <w:rPr>
          <w:rFonts w:ascii="Arial" w:hAnsi="Arial" w:eastAsia="Arial" w:cs="Arial"/>
          <w:color w:val="000000" w:themeColor="text1"/>
        </w:rPr>
      </w:pPr>
      <w:r w:rsidRPr="51D9F959">
        <w:rPr>
          <w:rFonts w:ascii="Arial" w:hAnsi="Arial" w:eastAsia="Arial" w:cs="Arial"/>
          <w:color w:val="000000" w:themeColor="text1"/>
        </w:rPr>
        <w:t xml:space="preserve">Dans quelle mesure les citoyens estiment-ils que la société civile joue un rôle positif dans leur pays ?</w:t>
      </w:r>
    </w:p>
    <w:p w:rsidR="002F6506" w:rsidP="002F6506" w:rsidRDefault="002F6506">
      <w:pPr>
        <w:pStyle w:val="ListParagraph"/>
        <w:numPr>
          <w:ilvl w:val="0"/>
          <w:numId w:val="10"/>
        </w:numPr>
        <w:spacing w:before="240" w:after="200"/>
        <w:rPr>
          <w:rFonts w:ascii="Arial" w:hAnsi="Arial" w:eastAsia="Arial" w:cs="Arial"/>
          <w:color w:val="000000" w:themeColor="text1"/>
        </w:rPr>
      </w:pPr>
      <w:r w:rsidRPr="6B082B04">
        <w:rPr>
          <w:rFonts w:ascii="Arial" w:hAnsi="Arial" w:eastAsia="Arial" w:cs="Arial"/>
          <w:color w:val="000000" w:themeColor="text1"/>
        </w:rPr>
        <w:t xml:space="preserve">Dans quelle mesure les citoyens estiment-ils pouvoir influencer les décisions politiques et participer activement aux processus politiques ? Tenez également compte de la prévalence de la participation de la population aux initiatives communautaires ou de son engagement auprès d'organisations civiques politiques ou non politiques.</w:t>
      </w:r>
    </w:p>
    <w:p w:rsidR="002F6506" w:rsidP="002F6506" w:rsidRDefault="002F6506">
      <w:pPr>
        <w:pStyle w:val="ListParagraph"/>
        <w:numPr>
          <w:ilvl w:val="0"/>
          <w:numId w:val="10"/>
        </w:numPr>
        <w:spacing w:before="240" w:after="200"/>
        <w:rPr>
          <w:rFonts w:ascii="Arial" w:hAnsi="Arial" w:eastAsia="Arial" w:cs="Arial"/>
          <w:color w:val="000000" w:themeColor="text1"/>
        </w:rPr>
      </w:pPr>
      <w:r w:rsidRPr="732BBE29">
        <w:rPr>
          <w:rFonts w:ascii="Arial" w:hAnsi="Arial" w:eastAsia="Arial" w:cs="Arial"/>
          <w:color w:val="000000" w:themeColor="text1"/>
        </w:rPr>
        <w:t xml:space="preserve">Dans quelle mesure l'éducation civique est-elle accessible ? Dans quelle mesure les écoles et les programmes communautaires dispensent-ils une éducation complète sur les droits et les responsabilités politiques, ainsi que sur l'importance de l'engagement civique ?</w:t>
      </w:r>
    </w:p>
    <w:p w:rsidR="002F6506" w:rsidP="002F6506" w:rsidRDefault="002F6506">
      <w:pPr>
        <w:spacing w:after="200" w:line="288" w:lineRule="auto"/>
        <w:rPr>
          <w:rFonts w:ascii="Arial" w:hAnsi="Arial" w:eastAsia="Arial" w:cs="Arial"/>
          <w:b/>
          <w:bCs/>
        </w:rPr>
      </w:pPr>
      <w:r w:rsidRPr="732BBE29">
        <w:rPr>
          <w:rFonts w:ascii="Arial" w:hAnsi="Arial" w:eastAsia="Arial" w:cs="Arial"/>
          <w:b/>
          <w:bCs/>
          <w:lang w:val="en-GB"/>
        </w:rPr>
        <w:t xml:space="preserve">Barème de notation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Totalement déficiente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51D9F959">
              <w:rPr>
                <w:rFonts w:ascii="Arial" w:hAnsi="Arial" w:eastAsia="Arial" w:cs="Arial"/>
                <w:lang w:val="en-US"/>
              </w:rPr>
              <w:t xml:space="preserve">Les citoyens se sentent impuissants à influencer les décisions politiques, avec un engagement civique très faible ou négligeable. L'éducation civique est pratiquement inexistante, et les citoyens ont une conscience limitée de leurs droits ou de leurs responsabilités civiques. La participation aux processus politiques, même aux élections nationales, est minime ou fortement découragée.</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Invalidant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51D9F959">
              <w:rPr>
                <w:rFonts w:ascii="Arial" w:hAnsi="Arial" w:eastAsia="Arial" w:cs="Arial"/>
                <w:lang w:val="en-US"/>
              </w:rPr>
              <w:t xml:space="preserve">Peu de citoyens estiment pouvoir influencer les décisions politiques, ce qui se traduit par un faible engagement civique. L'éducation civique est rudimentaire et accorde peu d'importance aux droits ou aux responsabilités individuels. La participation politique s'exerce principalement par le biais du vote lors des élections nationales, les possibilités d'engagement en dehors de ce cadre étant rares.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Partiellement favorable (3)</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51D9F959">
              <w:rPr>
                <w:rFonts w:ascii="Arial" w:hAnsi="Arial" w:eastAsia="Arial" w:cs="Arial"/>
                <w:lang w:val="en-US"/>
              </w:rPr>
              <w:t xml:space="preserve">Les responsabilités civiques sont reconnues, mais seule une partie de la population participe activement aux processus politiques. L'éducation civique existe, mais n'est pas mise en avant dans tous les établissements d'enseignement ni auprès de toutes les catégories de population. Les citoyens participent aux élections majeures, mais moins aux initiatives locales ou portant sur des questions spécifiques.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lastRenderedPageBreak/>
            </w:r>
            <w:r w:rsidRPr="51D9F959">
              <w:rPr>
                <w:rFonts w:ascii="Arial" w:hAnsi="Arial" w:eastAsia="Arial" w:cs="Arial"/>
                <w:b/>
                <w:bCs/>
                <w:lang w:val="es-ES"/>
              </w:rPr>
              <w:t xml:space="preserve">Favorable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51D9F959">
              <w:rPr>
                <w:rFonts w:ascii="Arial" w:hAnsi="Arial" w:eastAsia="Arial" w:cs="Arial"/>
                <w:lang w:val="en-US"/>
              </w:rPr>
              <w:t xml:space="preserve">La plupart des citoyens estiment pouvoir influencer les décisions politiques, et une majorité participe aux processus civiques. L'éducation civique est bien établie, bien que l'engagement puisse varier selon les groupes démographiques. L'engagement civique se heurte parfois à des obstacles (par exemple, des barrières bureaucratiques), mais ceux-ci ne dissuadent pas la majorité.</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Entièrement favorable (5)</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51D9F959">
              <w:rPr>
                <w:rFonts w:ascii="Arial" w:hAnsi="Arial" w:eastAsia="Arial" w:cs="Arial"/>
                <w:lang w:val="en-US"/>
              </w:rPr>
              <w:t xml:space="preserve">Croyance généralisée dans le pouvoir des individus et des groupes d'influencer les décisions politiques. Les écoles et les institutions sensibilisent activement les citoyens à leurs droits et responsabilités civiques. Les organisations communautaires et les initiatives citoyennes sont régulièrement impliquées dans les processus décisionnels, l'élaboration des politiques et le développement local.</w:t>
            </w:r>
          </w:p>
        </w:tc>
      </w:tr>
    </w:tbl>
    <w:p w:rsidR="002F6506" w:rsidP="002F6506" w:rsidRDefault="002F6506">
      <w:pPr>
        <w:spacing w:before="240" w:after="240"/>
        <w:rPr>
          <w:rFonts w:ascii="Arial" w:hAnsi="Arial" w:eastAsia="Arial" w:cs="Arial"/>
          <w:b/>
          <w:bCs/>
        </w:rPr>
      </w:pPr>
      <w:r w:rsidRPr="51D9F959">
        <w:rPr>
          <w:rFonts w:ascii="Arial" w:hAnsi="Arial" w:eastAsia="Arial" w:cs="Arial"/>
          <w:b/>
          <w:bCs/>
          <w:lang w:val="en-GB"/>
        </w:rPr>
        <w:t xml:space="preserve">5.3 | Égalité et inclusion civiques</w:t>
      </w:r>
    </w:p>
    <w:p w:rsidR="002F6506" w:rsidP="002F6506" w:rsidRDefault="002F6506">
      <w:pPr>
        <w:spacing w:before="240" w:after="200"/>
        <w:rPr>
          <w:rFonts w:ascii="Arial" w:hAnsi="Arial" w:eastAsia="Arial" w:cs="Arial"/>
          <w:color w:val="000000" w:themeColor="text1"/>
        </w:rPr>
      </w:pPr>
      <w:r w:rsidRPr="51D9F959">
        <w:rPr>
          <w:rFonts w:ascii="Arial" w:hAnsi="Arial" w:eastAsia="Arial" w:cs="Arial"/>
          <w:color w:val="000000" w:themeColor="text1"/>
          <w:lang w:val="en-GB"/>
        </w:rPr>
        <w:t xml:space="preserve">Questions :</w:t>
      </w:r>
    </w:p>
    <w:p w:rsidR="002F6506" w:rsidP="002F6506" w:rsidRDefault="002F6506">
      <w:pPr>
        <w:pStyle w:val="ListParagraph"/>
        <w:numPr>
          <w:ilvl w:val="0"/>
          <w:numId w:val="9"/>
        </w:numPr>
        <w:spacing w:before="240" w:after="200"/>
        <w:rPr>
          <w:rFonts w:ascii="Arial" w:hAnsi="Arial" w:eastAsia="Arial" w:cs="Arial"/>
          <w:color w:val="000000" w:themeColor="text1"/>
        </w:rPr>
      </w:pPr>
      <w:r w:rsidRPr="51D9F959">
        <w:rPr>
          <w:rFonts w:ascii="Arial" w:hAnsi="Arial" w:eastAsia="Arial" w:cs="Arial"/>
          <w:color w:val="000000" w:themeColor="text1"/>
        </w:rPr>
        <w:t xml:space="preserve">Dans quelle mesure les systèmes juridiques, sociaux et économiques garantissent-ils l'égalité des droits et des chances pour tous les individus, y compris les groupes marginalisés, de participer aux processus civiques ?</w:t>
      </w:r>
    </w:p>
    <w:p w:rsidR="002F6506" w:rsidP="002F6506" w:rsidRDefault="002F6506">
      <w:pPr>
        <w:pStyle w:val="ListParagraph"/>
        <w:numPr>
          <w:ilvl w:val="0"/>
          <w:numId w:val="9"/>
        </w:numPr>
        <w:spacing w:before="240" w:after="200"/>
        <w:rPr>
          <w:rFonts w:ascii="Arial" w:hAnsi="Arial" w:eastAsia="Arial" w:cs="Arial"/>
          <w:b/>
          <w:bCs/>
        </w:rPr>
      </w:pPr>
      <w:r w:rsidRPr="732BBE29">
        <w:rPr>
          <w:rFonts w:ascii="Arial" w:hAnsi="Arial" w:eastAsia="Arial" w:cs="Arial"/>
          <w:color w:val="000000" w:themeColor="text1"/>
        </w:rPr>
        <w:t xml:space="preserve">Quelle est l'importance des barrières sociales et économiques pour les groupes marginalisés et défavorisés ainsi que pour les populations vulnérables (notamment en fonction de la classe sociale, de l'origine ethnique, du genre/de l'identité, de la langue, de la religion et de l'orientation sexuelle) ? Dans quelle mesure la tolérance sociale et le respect de la diversité existent-ils au sein des populations majoritaires ou des groupes dominants ? </w:t>
      </w:r>
    </w:p>
    <w:p w:rsidR="002F6506" w:rsidP="002F6506" w:rsidRDefault="002F6506">
      <w:pPr>
        <w:spacing w:before="240" w:after="200"/>
        <w:rPr>
          <w:rFonts w:ascii="Arial" w:hAnsi="Arial" w:eastAsia="Arial" w:cs="Arial"/>
          <w:b/>
          <w:bCs/>
        </w:rPr>
      </w:pPr>
      <w:r w:rsidRPr="732BBE29">
        <w:rPr>
          <w:rFonts w:ascii="Arial" w:hAnsi="Arial" w:eastAsia="Arial" w:cs="Arial"/>
          <w:b/>
          <w:bCs/>
          <w:lang w:val="en-GB"/>
        </w:rPr>
        <w:t xml:space="preserve">Barème de notation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Entièrement invalidant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732BBE29">
              <w:rPr>
                <w:rFonts w:ascii="Arial" w:hAnsi="Arial" w:eastAsia="Arial" w:cs="Arial"/>
                <w:lang w:val="en-US"/>
              </w:rPr>
              <w:t xml:space="preserve">Des obstacles juridiques, sociaux ou économiques importants empêchent une participation civique égale. Les droits et les opportunités sont répartis de manière inégale, et la discrimination systémique est omniprésente. Les groupes minoritaires ou marginalisés sont peu ou pas représentés dans la gouvernance, les forums publics ou la société civile. Les attitudes envers les communautés minoritaires et marginalisées sont marquées par la méfiance et les préjugés.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Invalidant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51D9F959">
              <w:rPr>
                <w:rFonts w:ascii="Arial" w:hAnsi="Arial" w:eastAsia="Arial" w:cs="Arial"/>
                <w:lang w:val="en-US"/>
              </w:rPr>
              <w:t xml:space="preserve">Certaines barrières juridiques ont été levées, mais des obstacles sociaux et économiques continuent d'empêcher une participation égale pour de nombreux groupes. La représentation des groupes marginalisés existe dans certains domaines, mais elle est symbolique ou insuffisante pour influencer la prise de décision. La société reconnaît la nécessité de l'inclusion, mais la méfiance sociale et les préjugés persistent.</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Partiellement favorable (3)</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51D9F959">
              <w:rPr>
                <w:rFonts w:ascii="Arial" w:hAnsi="Arial" w:eastAsia="Arial" w:cs="Arial"/>
                <w:lang w:val="en-US"/>
              </w:rPr>
              <w:t xml:space="preserve">Des réformes juridiques sont en place pour soutenir l'égalité, mais leur mise en œuvre est inégale et les disparités économiques persistent. Les groupes marginalisés sont représentés dans la société civile et la gouvernance dans une mesure modérée, avec une influence croissante dans les discussions politiques. La tolérance communautaire existe de manière générale, mais une certaine résistance persiste dans certains segments de la société.</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lastRenderedPageBreak/>
            </w:r>
            <w:r w:rsidRPr="51D9F959">
              <w:rPr>
                <w:rFonts w:ascii="Arial" w:hAnsi="Arial" w:eastAsia="Arial" w:cs="Arial"/>
                <w:b/>
                <w:bCs/>
                <w:lang w:val="es-ES"/>
              </w:rPr>
              <w:t xml:space="preserve">Favorable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51D9F959">
              <w:rPr>
                <w:rFonts w:ascii="Arial" w:hAnsi="Arial" w:eastAsia="Arial" w:cs="Arial"/>
                <w:lang w:val="en-US"/>
              </w:rPr>
              <w:t xml:space="preserve">Les structures juridiques et institutionnelles soutiennent activement l'égalité, avec peu d'obstacles à la participation des groupes marginalisés. Les groupes marginalisés sont représentés de manière significative dans la gouvernance et la société civile, où ils influencent les décisions et les politiques. Il existe un large soutien en faveur d'alliances sociales diversifiées, bien que l'intégration des populations marginalisées dans ces alliances, en particulier aux postes de direction, fasse souvent défaut.</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Entièrement favorable (5)</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51D9F959">
              <w:rPr>
                <w:rFonts w:ascii="Arial" w:hAnsi="Arial" w:eastAsia="Arial" w:cs="Arial"/>
                <w:lang w:val="en-US"/>
              </w:rPr>
              <w:t xml:space="preserve">Tous les groupes bénéficient d’opportunités juridiques, sociales et économiques égales pour participer aux processus politiques. Les obstacles à la participation ont été éliminés. La gouvernance et la société civile reflètent toute la diversité de la population, avec une représentation équitable et un pouvoir de décision pour les groupes marginalisés. La société prône l’inclusivité et est profondément imprégnée de la promotion de l’égalité et du soutien aux communautés marginalisées à tous les niveaux.</w:t>
            </w:r>
          </w:p>
        </w:tc>
      </w:tr>
    </w:tbl>
    <w:p w:rsidR="002F6506" w:rsidP="002F6506" w:rsidRDefault="002F6506">
      <w:pPr>
        <w:spacing w:after="200" w:line="288" w:lineRule="auto"/>
        <w:rPr>
          <w:rFonts w:ascii="Arial" w:hAnsi="Arial" w:eastAsia="Arial" w:cs="Arial"/>
          <w:b/>
          <w:bCs/>
          <w:color w:val="2E74B5" w:themeColor="accent1" w:themeShade="BF"/>
        </w:rPr>
      </w:pPr>
    </w:p>
    <w:p w:rsidR="002F6506" w:rsidP="002F6506" w:rsidRDefault="002F6506">
      <w:pPr>
        <w:spacing w:after="200" w:line="288" w:lineRule="auto"/>
        <w:rPr>
          <w:rFonts w:ascii="Arial" w:hAnsi="Arial" w:eastAsia="Arial" w:cs="Arial"/>
          <w:color w:val="2E74B5" w:themeColor="accent1" w:themeShade="BF"/>
        </w:rPr>
      </w:pPr>
      <w:r w:rsidRPr="582F23E0">
        <w:rPr>
          <w:rFonts w:ascii="Arial" w:hAnsi="Arial" w:eastAsia="Arial" w:cs="Arial"/>
          <w:b/>
          <w:bCs/>
          <w:color w:val="2E74B5" w:themeColor="accent1" w:themeShade="BF"/>
          <w:lang w:val="en-GB"/>
        </w:rPr>
        <w:t xml:space="preserve">Questions guides pour le principe 6 : </w:t>
      </w:r>
      <w:r w:rsidRPr="582F23E0">
        <w:rPr>
          <w:rFonts w:ascii="Arial" w:hAnsi="Arial" w:eastAsia="Arial" w:cs="Arial"/>
          <w:color w:val="2E74B5" w:themeColor="accent1" w:themeShade="BF"/>
          <w:lang w:val="en-GB"/>
        </w:rPr>
        <w:t xml:space="preserve">Accès à un environnement numérique sécurisé</w:t>
      </w:r>
    </w:p>
    <w:p w:rsidR="002F6506" w:rsidP="002F6506" w:rsidRDefault="002F6506">
      <w:pPr>
        <w:keepNext/>
        <w:keepLines/>
        <w:rPr>
          <w:rFonts w:ascii="Arial" w:hAnsi="Arial" w:eastAsia="Arial" w:cs="Arial"/>
          <w:color w:val="000000" w:themeColor="text1"/>
        </w:rPr>
      </w:pPr>
      <w:r w:rsidRPr="582F23E0">
        <w:rPr>
          <w:rFonts w:ascii="Arial" w:hAnsi="Arial" w:eastAsia="Arial" w:cs="Arial"/>
          <w:b/>
          <w:bCs/>
          <w:color w:val="000000" w:themeColor="text1"/>
          <w:lang w:val="en"/>
        </w:rPr>
        <w:t xml:space="preserve">6.1 | Droits et libertés numériques</w:t>
      </w:r>
    </w:p>
    <w:p w:rsidR="002F6506" w:rsidP="002F6506" w:rsidRDefault="002F6506">
      <w:pPr>
        <w:shd w:val="clear" w:color="auto" w:fill="FFFFFF" w:themeFill="background1"/>
        <w:spacing w:before="240" w:after="240"/>
        <w:jc w:val="both"/>
        <w:rPr>
          <w:rFonts w:ascii="Arial" w:hAnsi="Arial" w:eastAsia="Arial" w:cs="Arial"/>
          <w:color w:val="000000" w:themeColor="text1"/>
        </w:rPr>
      </w:pPr>
      <w:r w:rsidRPr="582F23E0">
        <w:rPr>
          <w:rFonts w:ascii="Arial" w:hAnsi="Arial" w:eastAsia="Arial" w:cs="Arial"/>
          <w:color w:val="000000" w:themeColor="text1"/>
          <w:lang w:val="en"/>
        </w:rPr>
        <w:t xml:space="preserve">Questions :</w:t>
      </w:r>
    </w:p>
    <w:p w:rsidR="002F6506" w:rsidP="002F6506" w:rsidRDefault="002F6506">
      <w:pPr>
        <w:pStyle w:val="ListParagraph"/>
        <w:numPr>
          <w:ilvl w:val="0"/>
          <w:numId w:val="5"/>
        </w:numPr>
        <w:shd w:val="clear" w:color="auto" w:fill="FFFFFF" w:themeFill="background1"/>
        <w:spacing w:before="280"/>
        <w:jc w:val="both"/>
        <w:rPr>
          <w:rFonts w:ascii="Arial" w:hAnsi="Arial" w:eastAsia="Arial" w:cs="Arial"/>
          <w:color w:val="000000" w:themeColor="text1"/>
        </w:rPr>
      </w:pPr>
      <w:r w:rsidRPr="582F23E0">
        <w:rPr>
          <w:rFonts w:ascii="Arial" w:hAnsi="Arial" w:eastAsia="Arial" w:cs="Arial"/>
          <w:color w:val="000000" w:themeColor="text1"/>
          <w:lang w:val="en-US"/>
        </w:rPr>
        <w:t xml:space="preserve">Quelle </w:t>
      </w:r>
      <w:r w:rsidRPr="582F23E0">
        <w:rPr>
          <w:rFonts w:ascii="Arial" w:hAnsi="Arial" w:eastAsia="Arial" w:cs="Arial"/>
          <w:color w:val="000000" w:themeColor="text1"/>
          <w:lang w:val="en-US"/>
        </w:rPr>
        <w:t xml:space="preserve">est</w:t>
      </w:r>
      <w:r w:rsidRPr="582F23E0">
        <w:rPr>
          <w:rFonts w:ascii="Arial" w:hAnsi="Arial" w:eastAsia="Arial" w:cs="Arial"/>
          <w:color w:val="000000" w:themeColor="text1"/>
          <w:lang w:val="en-US"/>
        </w:rPr>
        <w:t xml:space="preserve"> la fréquence et </w:t>
      </w:r>
      <w:r w:rsidRPr="582F23E0">
        <w:rPr>
          <w:rFonts w:ascii="Arial" w:hAnsi="Arial" w:eastAsia="Arial" w:cs="Arial"/>
          <w:color w:val="000000" w:themeColor="text1"/>
          <w:lang w:val="en-US"/>
        </w:rPr>
        <w:t xml:space="preserve">l'impact des coupures d'Internet et des réseaux sociaux dans le pays ? Tenez compte de la fréquence des coupures et de leurs effets sur la capacité des OSC à fonctionner, ainsi que du moment et de la justification de ces coupures (par exemple, lors de manifestations ou d'élections).</w:t>
      </w:r>
    </w:p>
    <w:p w:rsidR="002F6506" w:rsidP="002F6506" w:rsidRDefault="002F6506">
      <w:pPr>
        <w:pStyle w:val="ListParagraph"/>
        <w:numPr>
          <w:ilvl w:val="0"/>
          <w:numId w:val="4"/>
        </w:numPr>
        <w:shd w:val="clear" w:color="auto" w:fill="FFFFFF" w:themeFill="background1"/>
        <w:spacing w:before="240"/>
        <w:jc w:val="both"/>
        <w:rPr>
          <w:rFonts w:ascii="Arial" w:hAnsi="Arial" w:eastAsia="Arial" w:cs="Arial"/>
          <w:color w:val="000000" w:themeColor="text1"/>
        </w:rPr>
      </w:pPr>
      <w:r w:rsidRPr="582F23E0">
        <w:rPr>
          <w:rFonts w:ascii="Arial" w:hAnsi="Arial" w:eastAsia="Arial" w:cs="Arial"/>
          <w:color w:val="000000" w:themeColor="text1"/>
          <w:lang w:val="en"/>
        </w:rPr>
        <w:t xml:space="preserve">Existe-t-il des lois, des réglementations ou des politiques gouvernementales proposées ou en vigueur concernant la liberté sur Internet et les contenus en ligne ? Ces politiques sont-elles appliquées, et comment les pratiques d'application traitent-elles l'utilisation abusive ou la déformation de l'information par des acteurs gouvernementaux et non étatiques, par exemple par la manipulation ou la surveillance ?</w:t>
      </w:r>
    </w:p>
    <w:p w:rsidR="002F6506" w:rsidP="002F6506" w:rsidRDefault="002F6506">
      <w:pPr>
        <w:pStyle w:val="ListParagraph"/>
        <w:numPr>
          <w:ilvl w:val="0"/>
          <w:numId w:val="4"/>
        </w:numPr>
        <w:shd w:val="clear" w:color="auto" w:fill="FFFFFF" w:themeFill="background1"/>
        <w:spacing w:after="240"/>
        <w:jc w:val="both"/>
        <w:rPr>
          <w:rFonts w:ascii="Arial" w:hAnsi="Arial" w:eastAsia="Arial" w:cs="Arial"/>
          <w:color w:val="000000" w:themeColor="text1"/>
        </w:rPr>
      </w:pPr>
      <w:r w:rsidRPr="582F23E0">
        <w:rPr>
          <w:rFonts w:ascii="Arial" w:hAnsi="Arial" w:eastAsia="Arial" w:cs="Arial"/>
          <w:color w:val="000000" w:themeColor="text1"/>
          <w:lang w:val="en-US"/>
        </w:rPr>
        <w:t xml:space="preserve">À quelle fréquence le gouvernement procède-t-il à la censure de contenus politiques sur Internet et les réseaux sociaux, notamment par le filtrage de sites web, la suppression de publications et la surveillance des activités politiques, en particulier celles visant les OSC et leurs membres ? Dans quelle mesure la censure et la surveillance sur les réseaux sociaux sont-elles exhaustives et ciblées ?</w:t>
      </w:r>
    </w:p>
    <w:p w:rsidR="002F6506" w:rsidP="002F6506" w:rsidRDefault="002F6506">
      <w:pPr>
        <w:pStyle w:val="ListParagraph"/>
        <w:numPr>
          <w:ilvl w:val="0"/>
          <w:numId w:val="4"/>
        </w:numPr>
        <w:shd w:val="clear" w:color="auto" w:fill="FFFFFF" w:themeFill="background1"/>
        <w:spacing w:after="240"/>
        <w:jc w:val="both"/>
        <w:rPr>
          <w:rFonts w:ascii="Arial" w:hAnsi="Arial" w:eastAsia="Arial" w:cs="Arial"/>
          <w:color w:val="000000" w:themeColor="text1"/>
          <w:lang w:val="es-ES"/>
        </w:rPr>
      </w:pPr>
      <w:r w:rsidRPr="6B082B04">
        <w:rPr>
          <w:rFonts w:ascii="Arial" w:hAnsi="Arial" w:eastAsia="Arial" w:cs="Arial"/>
          <w:color w:val="000000" w:themeColor="text1"/>
          <w:lang w:val="es-ES"/>
        </w:rPr>
        <w:t xml:space="preserve">Quel rôle les plateformes privées, telles que les entreprises de réseaux sociaux, jouent-elles dans le filtrage des contenus, et dans quelle mesure cela s'aligne-t-il ou entre-t-il en conflit avec les politiques gouvernementales ? Quelles mesures sont en place pour garantir la transparence et la responsabilité ?</w:t>
      </w:r>
    </w:p>
    <w:p w:rsidR="002F6506" w:rsidP="002F6506" w:rsidRDefault="002F6506">
      <w:pPr>
        <w:pStyle w:val="ListParagraph"/>
        <w:widowControl w:val="0"/>
        <w:numPr>
          <w:ilvl w:val="0"/>
          <w:numId w:val="3"/>
        </w:numPr>
        <w:rPr>
          <w:rFonts w:ascii="Arial" w:hAnsi="Arial" w:eastAsia="Arial" w:cs="Arial"/>
          <w:color w:val="000000" w:themeColor="text1"/>
          <w:lang w:val="es-ES"/>
        </w:rPr>
      </w:pPr>
      <w:r w:rsidRPr="6B082B04">
        <w:rPr>
          <w:rFonts w:ascii="Arial" w:hAnsi="Arial" w:eastAsia="Arial" w:cs="Arial"/>
          <w:color w:val="000000" w:themeColor="text1"/>
          <w:lang w:val="en-US"/>
        </w:rPr>
        <w:t xml:space="preserve">Y a-t-il des cas d’activistes d’OSC, de journalistes ou de particuliers détenus ou persécutés pour leurs activités en ligne ? Fournissez des détails sur des cas ou des tendances spécifiques, en mettant l’accent sur l’implication d’acteurs étatiques ou non étatiques (par exemple, des entreprises technologiques ou des particuliers).</w:t>
      </w:r>
    </w:p>
    <w:p w:rsidR="002F6506" w:rsidP="002F6506" w:rsidRDefault="002F6506">
      <w:pPr>
        <w:shd w:val="clear" w:color="auto" w:fill="FFFFFF" w:themeFill="background1"/>
        <w:spacing w:before="240" w:after="240"/>
        <w:jc w:val="both"/>
        <w:rPr>
          <w:rFonts w:ascii="Arial" w:hAnsi="Arial" w:eastAsia="Arial" w:cs="Arial"/>
          <w:color w:val="000000" w:themeColor="text1"/>
        </w:rPr>
      </w:pPr>
      <w:r w:rsidRPr="582F23E0">
        <w:rPr>
          <w:rFonts w:ascii="Arial" w:hAnsi="Arial" w:eastAsia="Arial" w:cs="Arial"/>
          <w:b/>
          <w:bCs/>
          <w:color w:val="000000" w:themeColor="text1"/>
          <w:lang w:val="en"/>
        </w:rPr>
        <w:t xml:space="preserve">Grille d'évaluation :</w:t>
      </w:r>
    </w:p>
    <w:tbl>
      <w:tblPr>
        <w:tblStyle w:val="TableGrid"/>
        <w:tblW w:w="9000" w:type="dxa"/>
        <w:tblBorders>
          <w:top w:val="single" w:color="auto" w:sz="6" w:space="0"/>
          <w:left w:val="single" w:color="auto" w:sz="6" w:space="0"/>
          <w:bottom w:val="single" w:color="auto" w:sz="6" w:space="0"/>
          <w:right w:val="single" w:color="auto" w:sz="6" w:space="0"/>
        </w:tblBorders>
        <w:tblLayout w:type="fixed"/>
        <w:tblLook w:val="0000"/>
      </w:tblPr>
      <w:tblGrid>
        <w:gridCol w:w="1845"/>
        <w:gridCol w:w="7155"/>
      </w:tblGrid>
      <w:tr w:rsidR="002F6506" w:rsidTr="006B581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82F23E0">
              <w:rPr>
                <w:rFonts w:ascii="Arial" w:hAnsi="Arial" w:eastAsia="Arial" w:cs="Arial"/>
                <w:b/>
                <w:bCs/>
                <w:lang w:val="en"/>
              </w:rPr>
              <w:t xml:space="preserve">Interdiction totale (1)</w:t>
            </w:r>
          </w:p>
        </w:tc>
        <w:tc>
          <w:tcPr>
            <w:tcW w:w="71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hd w:val="clear" w:color="auto" w:fill="FFFFFF" w:themeFill="background1"/>
              <w:rPr>
                <w:rFonts w:ascii="Arial" w:hAnsi="Arial" w:eastAsia="Arial" w:cs="Arial"/>
              </w:rPr>
            </w:pPr>
            <w:r w:rsidRPr="6B082B04">
              <w:rPr>
                <w:rFonts w:ascii="Arial" w:hAnsi="Arial" w:eastAsia="Arial" w:cs="Arial"/>
                <w:lang w:val="en-US"/>
              </w:rPr>
              <w:t xml:space="preserve">Les autorités coupent fréquemment l'accès à Internet et aux réseaux sociaux, en particulier lors d'événements politiques (par exemple, manifestations, élections). Il existe une surveillance et une censure étendues des contenus politiques, les sites pro-gouvernementaux étant autorisés et les contenus critiques bloqués. Aucune mesure </w:t>
            </w:r>
            <w:r w:rsidRPr="6B082B04">
              <w:rPr>
                <w:rFonts w:ascii="Arial" w:hAnsi="Arial" w:eastAsia="Arial" w:cs="Arial"/>
                <w:lang w:val="en-US"/>
              </w:rPr>
              <w:t xml:space="preserve">d'</w:t>
            </w:r>
            <w:r w:rsidRPr="6B082B04">
              <w:rPr>
                <w:rFonts w:ascii="Arial" w:hAnsi="Arial" w:eastAsia="Arial" w:cs="Arial"/>
                <w:lang w:val="en-US"/>
              </w:rPr>
              <w:lastRenderedPageBreak/>
            </w:r>
            <w:r w:rsidRPr="6B082B04">
              <w:rPr>
                <w:rFonts w:ascii="Arial" w:hAnsi="Arial" w:eastAsia="Arial" w:cs="Arial"/>
                <w:lang w:val="en-US"/>
              </w:rPr>
              <w:t xml:space="preserve"> des lois ou des réglementations relatives à la liberté sur Internet n'est mise en œuvre, et tant les acteurs gouvernementaux que non étatiques manipulent l'information. Les plateformes de réseaux sociaux masquent fréquemment certains contenus qu'elles jugent incompatibles, ne garantissant ni transparence ni responsabilité. Des militants d'OSC et des particuliers sont fréquemment détenus en raison de leurs activités en ligne critiques à l'égard du gouvernement.</w:t>
            </w:r>
          </w:p>
        </w:tc>
      </w:tr>
      <w:tr w:rsidR="002F6506" w:rsidTr="006B581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82F23E0">
              <w:rPr>
                <w:rFonts w:ascii="Arial" w:hAnsi="Arial" w:eastAsia="Arial" w:cs="Arial"/>
                <w:b/>
                <w:bCs/>
                <w:lang w:val="en"/>
              </w:rPr>
              <w:lastRenderedPageBreak/>
            </w:r>
            <w:r w:rsidRPr="582F23E0">
              <w:rPr>
                <w:rFonts w:ascii="Arial" w:hAnsi="Arial" w:eastAsia="Arial" w:cs="Arial"/>
                <w:b/>
                <w:bCs/>
                <w:lang w:val="en"/>
              </w:rPr>
              <w:t xml:space="preserve">Désactivant (2)</w:t>
            </w:r>
          </w:p>
        </w:tc>
        <w:tc>
          <w:tcPr>
            <w:tcW w:w="71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hd w:val="clear" w:color="auto" w:fill="FFFFFF" w:themeFill="background1"/>
              <w:rPr>
                <w:rFonts w:ascii="Arial" w:hAnsi="Arial" w:eastAsia="Arial" w:cs="Arial"/>
              </w:rPr>
            </w:pPr>
            <w:r w:rsidRPr="6B082B04">
              <w:rPr>
                <w:rFonts w:ascii="Arial" w:hAnsi="Arial" w:eastAsia="Arial" w:cs="Arial"/>
                <w:lang w:val="en-US"/>
              </w:rPr>
              <w:t xml:space="preserve">Les autorités bloquent souvent l'accès aux plateformes de réseaux sociaux et à l'Internet national, en particulier lors d'événements sensibles. La surveillance des contenus politiques sur les réseaux sociaux est généralement exhaustive, la plupart des questions politiques clés et des militants faisant l'objet d'une surveillance. Le gouvernement censure couramment les informations politiques sur Internet, supprimant une quantité importante de contenus critiques. Le gouvernement censure tous les contenus politiques sur les réseaux sociaux, rendant difficile l'expression des voix dissidentes. Des lois ou réglementations sur la liberté d'Internet existent mais sont faibles, et leur application est inégale. Les plateformes de réseaux sociaux masquent souvent certains contenus qu’elles jugent incompatibles, ne garantissant ainsi ni transparence ni responsabilité. On recense des cas de détention d’activistes d’OSC et de particuliers pour leurs activités en ligne critiquant le gouvernement.</w:t>
            </w:r>
          </w:p>
        </w:tc>
      </w:tr>
      <w:tr w:rsidR="002F6506" w:rsidTr="006B581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82F23E0">
              <w:rPr>
                <w:rFonts w:ascii="Arial" w:hAnsi="Arial" w:eastAsia="Arial" w:cs="Arial"/>
                <w:b/>
                <w:bCs/>
                <w:lang w:val="en"/>
              </w:rPr>
              <w:t xml:space="preserve">Partiellement favorable (3) </w:t>
            </w:r>
          </w:p>
        </w:tc>
        <w:tc>
          <w:tcPr>
            <w:tcW w:w="71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hd w:val="clear" w:color="auto" w:fill="FFFFFF" w:themeFill="background1"/>
              <w:rPr>
                <w:rFonts w:ascii="Arial" w:hAnsi="Arial" w:eastAsia="Arial" w:cs="Arial"/>
              </w:rPr>
            </w:pPr>
            <w:r w:rsidRPr="6B082B04">
              <w:rPr>
                <w:rFonts w:ascii="Arial" w:hAnsi="Arial" w:eastAsia="Arial" w:cs="Arial"/>
                <w:lang w:val="en-US"/>
              </w:rPr>
              <w:t xml:space="preserve">Les autorités bloquent parfois l'accès aux plateformes de réseaux sociaux et à l'Internet national, ou menacent de le faire. La surveillance et le contrôle des contenus sont parfois pratiqués. Le gouvernement censure de manière sélective les informations politiques sur Internet. Une part importante des contenus politiques sur les réseaux sociaux est censurée, mais pas la totalité. Des lois, des réglementations ou des politiques gouvernementales relatives à la liberté sur Internet et aux contenus en ligne sont proposées et en vigueur. Les plateformes de réseaux sociaux masquent parfois certains contenus qu’elles jugent incompatibles, sans faire preuve d’une transparence et d’une responsabilité totales. Des militants et des particuliers sont parfois détenus pour des activités en ligne critiques à l’égard du gouvernement.</w:t>
            </w:r>
          </w:p>
        </w:tc>
      </w:tr>
      <w:tr w:rsidR="002F6506" w:rsidTr="006B581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82F23E0">
              <w:rPr>
                <w:rFonts w:ascii="Arial" w:hAnsi="Arial" w:eastAsia="Arial" w:cs="Arial"/>
                <w:b/>
                <w:bCs/>
                <w:lang w:val="en"/>
              </w:rPr>
              <w:t xml:space="preserve">Favorable (4)</w:t>
            </w:r>
          </w:p>
        </w:tc>
        <w:tc>
          <w:tcPr>
            <w:tcW w:w="71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hd w:val="clear" w:color="auto" w:fill="FFFFFF" w:themeFill="background1"/>
              <w:rPr>
                <w:rFonts w:ascii="Arial" w:hAnsi="Arial" w:eastAsia="Arial" w:cs="Arial"/>
              </w:rPr>
            </w:pPr>
            <w:r w:rsidRPr="6B082B04">
              <w:rPr>
                <w:rFonts w:ascii="Arial" w:hAnsi="Arial" w:eastAsia="Arial" w:cs="Arial"/>
                <w:lang w:val="en-US"/>
              </w:rPr>
              <w:t xml:space="preserve">Les autorités bloquent rarement l'accès aux plateformes de réseaux sociaux et à l'Internet national. La surveillance des contenus politiques sur les réseaux sociaux est limitée, avec un suivi minimal. Le gouvernement censure rarement les informations politiques sur Internet, permettant à la plupart des informations de rester accessibles. Le gouvernement ne censure que les contenus des réseaux sociaux liés à des questions particulièrement sensibles. Des lois, réglementations ou politiques gouvernementales exhaustives relatives à la liberté sur Internet et aux contenus en ligne sont proposées ou en vigueur. Les plateformes de réseaux sociaux masquent rarement les contenus qu'elles jugent incompatibles, garantissant ainsi la transparence et la responsabilité. Le gouvernement respecte les voix dissidentes et ne détient pas les militants critiques à son égard.</w:t>
            </w:r>
          </w:p>
        </w:tc>
      </w:tr>
      <w:tr w:rsidR="002F6506" w:rsidTr="006B581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82F23E0">
              <w:rPr>
                <w:rFonts w:ascii="Arial" w:hAnsi="Arial" w:eastAsia="Arial" w:cs="Arial"/>
                <w:b/>
                <w:bCs/>
                <w:lang w:val="en"/>
              </w:rPr>
              <w:t xml:space="preserve">Entièrement favorable (5)</w:t>
            </w:r>
            <w:r>
              <w:br/>
            </w:r>
          </w:p>
          <w:p w:rsidR="002F6506" w:rsidP="006B5817" w:rsidRDefault="002F6506">
            <w:pPr>
              <w:widowControl w:val="0"/>
              <w:rPr>
                <w:rFonts w:ascii="Arial" w:hAnsi="Arial" w:eastAsia="Arial" w:cs="Arial"/>
              </w:rPr>
            </w:pPr>
            <w:r w:rsidRPr="582F23E0">
              <w:rPr>
                <w:rFonts w:ascii="Arial" w:hAnsi="Arial" w:eastAsia="Arial" w:cs="Arial"/>
                <w:b/>
                <w:bCs/>
                <w:lang w:val="en"/>
              </w:rPr>
              <w:t xml:space="preserve"> </w:t>
            </w:r>
          </w:p>
        </w:tc>
        <w:tc>
          <w:tcPr>
            <w:tcW w:w="71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hd w:val="clear" w:color="auto" w:fill="FFFFFF" w:themeFill="background1"/>
              <w:rPr>
                <w:rFonts w:ascii="Arial" w:hAnsi="Arial" w:eastAsia="Arial" w:cs="Arial"/>
              </w:rPr>
            </w:pPr>
            <w:r w:rsidRPr="6B082B04">
              <w:rPr>
                <w:rFonts w:ascii="Arial" w:hAnsi="Arial" w:eastAsia="Arial" w:cs="Arial"/>
                <w:lang w:val="en"/>
              </w:rPr>
              <w:t xml:space="preserve"> Les autorités n'ont jamais bloqué l'accès aux réseaux sociaux ni à l'Internet national. La surveillance des contenus politiques sur les réseaux sociaux est minime, voire inexistante. Le gouvernement ne censure pas les informations politiques sur Internet, permettant ainsi un accès sans restriction. Le gouvernement ne censure pas les contenus politiques sur les réseaux sociaux. Des lois, des réglementations ou des politiques gouvernementales complètes et solides</w:t>
            </w:r>
            <w:r w:rsidRPr="6B082B04">
              <w:rPr>
                <w:rFonts w:ascii="Arial" w:hAnsi="Arial" w:eastAsia="Arial" w:cs="Arial"/>
                <w:lang w:val="en"/>
              </w:rPr>
              <w:lastRenderedPageBreak/>
            </w:r>
            <w:r w:rsidRPr="6B082B04">
              <w:rPr>
                <w:rFonts w:ascii="Arial" w:hAnsi="Arial" w:eastAsia="Arial" w:cs="Arial"/>
                <w:lang w:val="en"/>
              </w:rPr>
              <w:t xml:space="preserve"> relatives à la liberté sur Internet et aux contenus en ligne sont proposées ou déjà en vigueur. </w:t>
            </w:r>
            <w:r w:rsidRPr="6B082B04">
              <w:rPr>
                <w:rFonts w:ascii="Arial" w:hAnsi="Arial" w:eastAsia="Arial" w:cs="Arial"/>
                <w:lang w:val="en-US"/>
              </w:rPr>
              <w:t xml:space="preserve">Les plateformes de réseaux sociaux ne masquent jamais les contenus qu'elles jugent incompatibles, garantissant ainsi une transparence et une responsabilité totales. </w:t>
            </w:r>
            <w:r w:rsidRPr="6B082B04">
              <w:rPr>
                <w:rFonts w:ascii="Arial" w:hAnsi="Arial" w:eastAsia="Arial" w:cs="Arial"/>
                <w:lang w:val="en"/>
              </w:rPr>
              <w:t xml:space="preserve">Le gouvernement respecte la liberté des OSC et des militants de mener leurs activités sans craindre d'être arrêtés. </w:t>
            </w:r>
          </w:p>
        </w:tc>
      </w:tr>
    </w:tbl>
    <w:p w:rsidR="002F6506" w:rsidP="002F6506" w:rsidRDefault="002F6506">
      <w:pPr>
        <w:rPr>
          <w:rFonts w:ascii="Arial" w:hAnsi="Arial" w:eastAsia="Arial" w:cs="Arial"/>
          <w:color w:val="000000" w:themeColor="text1"/>
        </w:rPr>
      </w:pPr>
    </w:p>
    <w:p w:rsidR="002F6506" w:rsidP="002F6506" w:rsidRDefault="002F6506">
      <w:pPr>
        <w:keepNext/>
        <w:keepLines/>
        <w:rPr>
          <w:rFonts w:ascii="Arial" w:hAnsi="Arial" w:eastAsia="Arial" w:cs="Arial"/>
          <w:color w:val="000000" w:themeColor="text1"/>
        </w:rPr>
      </w:pPr>
      <w:r w:rsidRPr="582F23E0">
        <w:rPr>
          <w:rFonts w:ascii="Arial" w:hAnsi="Arial" w:eastAsia="Arial" w:cs="Arial"/>
          <w:b/>
          <w:bCs/>
          <w:color w:val="000000" w:themeColor="text1"/>
          <w:lang w:val="en"/>
        </w:rPr>
        <w:t xml:space="preserve">6.2 | Sécurité numérique et vie privée</w:t>
      </w:r>
    </w:p>
    <w:p w:rsidR="002F6506" w:rsidP="002F6506" w:rsidRDefault="002F6506">
      <w:pPr>
        <w:shd w:val="clear" w:color="auto" w:fill="FFFFFF" w:themeFill="background1"/>
        <w:spacing w:before="240" w:after="240"/>
        <w:jc w:val="both"/>
        <w:rPr>
          <w:rFonts w:ascii="Arial" w:hAnsi="Arial" w:eastAsia="Arial" w:cs="Arial"/>
          <w:color w:val="000000" w:themeColor="text1"/>
        </w:rPr>
      </w:pPr>
      <w:r w:rsidRPr="582F23E0">
        <w:rPr>
          <w:rFonts w:ascii="Arial" w:hAnsi="Arial" w:eastAsia="Arial" w:cs="Arial"/>
          <w:color w:val="000000" w:themeColor="text1"/>
          <w:lang w:val="en"/>
        </w:rPr>
        <w:t xml:space="preserve">Questions :</w:t>
      </w:r>
    </w:p>
    <w:p w:rsidR="002F6506" w:rsidP="002F6506" w:rsidRDefault="002F6506">
      <w:pPr>
        <w:pStyle w:val="ListParagraph"/>
        <w:numPr>
          <w:ilvl w:val="0"/>
          <w:numId w:val="2"/>
        </w:numPr>
        <w:spacing w:after="0"/>
        <w:jc w:val="both"/>
        <w:rPr>
          <w:rFonts w:ascii="Arial" w:hAnsi="Arial" w:eastAsia="Arial" w:cs="Arial"/>
          <w:color w:val="000000" w:themeColor="text1"/>
          <w:lang w:val="es-ES"/>
        </w:rPr>
      </w:pPr>
      <w:r w:rsidRPr="582F23E0">
        <w:rPr>
          <w:rFonts w:ascii="Arial" w:hAnsi="Arial" w:eastAsia="Arial" w:cs="Arial"/>
          <w:color w:val="000000" w:themeColor="text1"/>
          <w:lang w:val="en-US"/>
        </w:rPr>
        <w:t xml:space="preserve">Existe-t-il des preuves que des agences gouvernementales ou d’autres acteurs concernés (par exemple, des entreprises privées, des groupes non étatiques) ont mené des cyberattaques, utilisé des logiciels espions, des logiciels malveillants ou d’autres outils de piratage pour infiltrer les appareils, les réseaux ou les plateformes de communication en ligne (par exemple, les e-mails, les applications de messagerie, etc.) des acteurs de la société civile ? À quelle fréquence ces attaques se produisent-elles, et quel est leur impact sur la capacité des acteurs de la société civile à opérer en toute sécurité en ligne ?</w:t>
      </w:r>
    </w:p>
    <w:p w:rsidR="002F6506" w:rsidP="002F6506" w:rsidRDefault="002F6506">
      <w:pPr>
        <w:pStyle w:val="ListParagraph"/>
        <w:numPr>
          <w:ilvl w:val="0"/>
          <w:numId w:val="2"/>
        </w:numPr>
        <w:spacing w:after="0"/>
        <w:jc w:val="both"/>
        <w:rPr>
          <w:rFonts w:ascii="Arial" w:hAnsi="Arial" w:eastAsia="Arial" w:cs="Arial"/>
          <w:color w:val="000000" w:themeColor="text1"/>
          <w:lang w:val="es-ES"/>
        </w:rPr>
      </w:pPr>
      <w:r w:rsidRPr="582F23E0">
        <w:rPr>
          <w:rFonts w:ascii="Arial" w:hAnsi="Arial" w:eastAsia="Arial" w:cs="Arial"/>
          <w:color w:val="000000" w:themeColor="text1"/>
          <w:lang w:val="en-US"/>
        </w:rPr>
        <w:t xml:space="preserve">Existe-t-il des lois spécifiques sur la protection des données visant à préserver la vie privée numérique des acteurs de la société civile, en particulier en ce qui concerne leurs communications et leurs activités en ligne ? Quels mécanismes de recours existent pour les acteurs de la société civile victimes de violations de leur vie privée numérique, telles que le piratage, la surveillance ou les fuites de données ? </w:t>
      </w:r>
    </w:p>
    <w:p w:rsidR="002F6506" w:rsidP="002F6506" w:rsidRDefault="002F6506">
      <w:pPr>
        <w:pStyle w:val="ListParagraph"/>
        <w:numPr>
          <w:ilvl w:val="0"/>
          <w:numId w:val="2"/>
        </w:numPr>
        <w:spacing w:after="0"/>
        <w:jc w:val="both"/>
        <w:rPr>
          <w:rFonts w:ascii="Arial" w:hAnsi="Arial" w:eastAsia="Arial" w:cs="Arial"/>
          <w:color w:val="000000" w:themeColor="text1"/>
          <w:lang w:val="es-ES"/>
        </w:rPr>
      </w:pPr>
      <w:r w:rsidRPr="582F23E0">
        <w:rPr>
          <w:rFonts w:ascii="Arial" w:hAnsi="Arial" w:eastAsia="Arial" w:cs="Arial"/>
          <w:color w:val="000000" w:themeColor="text1"/>
          <w:lang w:val="en"/>
        </w:rPr>
        <w:t xml:space="preserve">Existe-t-il des preuves que des comptes de réseaux sociaux, des bots ou d'autres acteurs liés au gouvernement diffusent de la désinformation, intimident les acteurs de la société civile en ligne ou manipulent les conversations en ligne afin de discréditer ces acteurs et leur travail ? </w:t>
      </w:r>
    </w:p>
    <w:p w:rsidR="002F6506" w:rsidP="002F6506" w:rsidRDefault="002F6506">
      <w:pPr>
        <w:spacing w:after="0"/>
        <w:ind w:start="708"/>
        <w:jc w:val="both"/>
        <w:rPr>
          <w:rFonts w:ascii="Arial" w:hAnsi="Arial" w:eastAsia="Arial" w:cs="Arial"/>
          <w:color w:val="000000" w:themeColor="text1"/>
          <w:lang w:val="es-ES"/>
        </w:rPr>
      </w:pPr>
    </w:p>
    <w:p w:rsidR="002F6506" w:rsidP="002F6506" w:rsidRDefault="002F6506">
      <w:pPr>
        <w:shd w:val="clear" w:color="auto" w:fill="FFFFFF" w:themeFill="background1"/>
        <w:spacing w:before="240" w:after="240"/>
        <w:jc w:val="both"/>
        <w:rPr>
          <w:rFonts w:ascii="Arial" w:hAnsi="Arial" w:eastAsia="Arial" w:cs="Arial"/>
          <w:color w:val="000000" w:themeColor="text1"/>
        </w:rPr>
      </w:pPr>
      <w:r w:rsidRPr="582F23E0">
        <w:rPr>
          <w:rFonts w:ascii="Arial" w:hAnsi="Arial" w:eastAsia="Arial" w:cs="Arial"/>
          <w:b/>
          <w:bCs/>
          <w:color w:val="000000" w:themeColor="text1"/>
          <w:lang w:val="en"/>
        </w:rPr>
        <w:t xml:space="preserve">Vignettes de notation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280"/>
              <w:rPr>
                <w:rFonts w:ascii="Arial" w:hAnsi="Arial" w:eastAsia="Arial" w:cs="Arial"/>
              </w:rPr>
            </w:pPr>
            <w:r w:rsidRPr="582F23E0">
              <w:rPr>
                <w:rFonts w:ascii="Arial" w:hAnsi="Arial" w:eastAsia="Arial" w:cs="Arial"/>
                <w:b/>
                <w:bCs/>
                <w:lang w:val="en"/>
              </w:rPr>
              <w:t xml:space="preserve">Désactivation totale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rPr>
                <w:rFonts w:ascii="Arial" w:hAnsi="Arial" w:eastAsia="Arial" w:cs="Arial"/>
                <w:lang w:val="es-ES"/>
              </w:rPr>
            </w:pPr>
            <w:r w:rsidRPr="582F23E0">
              <w:rPr>
                <w:rFonts w:ascii="Arial" w:hAnsi="Arial" w:eastAsia="Arial" w:cs="Arial"/>
                <w:lang w:val="en-US"/>
              </w:rPr>
              <w:t xml:space="preserve">Les agences gouvernementales ou d'autres acteurs (par exemple, des entreprises privées, des groupes non étatiques) se livrent fréquemment à des cyberattaques, en utilisant des logiciels espions, des logiciels malveillants ou d'autres outils de piratage pour infiltrer les appareils, les réseaux ou les plateformes de communication en ligne des acteurs de la société civile. Les lois sur la protection des données sont soit inexistantes, soit très insuffisantes, et leur application est inefficace. Les mécanismes de recours en cas de violation de la vie privée numérique, tels que le piratage ou la surveillance, sont totalement inexistants ou inefficaces. Le gouvernement utilise fréquemment des comptes sur les réseaux sociaux ou des bots pour diffuser de la désinformation, intimider les acteurs de la société civile ou manipuler les conversations en ligne afin de discréditer ces acteurs et leur travail.</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280"/>
              <w:rPr>
                <w:rFonts w:ascii="Arial" w:hAnsi="Arial" w:eastAsia="Arial" w:cs="Arial"/>
              </w:rPr>
            </w:pPr>
            <w:r w:rsidRPr="582F23E0">
              <w:rPr>
                <w:rFonts w:ascii="Arial" w:hAnsi="Arial" w:eastAsia="Arial" w:cs="Arial"/>
                <w:b/>
                <w:bCs/>
                <w:lang w:val="en"/>
              </w:rPr>
              <w:t xml:space="preserve">Désactivant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rPr>
                <w:rFonts w:ascii="Arial" w:hAnsi="Arial" w:eastAsia="Arial" w:cs="Arial"/>
                <w:lang w:val="es-ES"/>
              </w:rPr>
            </w:pPr>
            <w:r w:rsidRPr="582F23E0">
              <w:rPr>
                <w:rFonts w:ascii="Arial" w:hAnsi="Arial" w:eastAsia="Arial" w:cs="Arial"/>
                <w:lang w:val="en-US"/>
              </w:rPr>
              <w:t xml:space="preserve">Les agences gouvernementales ou d'autres acteurs (par exemple, des entreprises privées, des groupes non étatiques) mènent régulièrement des cyberattaques ou utilisent des logiciels espions, des logiciels malveillants et d'autres outils pour infiltrer les appareils ou les plateformes en ligne des acteurs de la société civile. Bien que des lois sur la protection des données existent, elles sont insuffisantes et leur application est inégale. Les mécanismes de recours pour les acteurs de la société civile sont faibles ou difficiles d'accès. Le gouvernement utilise fréquemment des comptes sur les réseaux sociaux ou des bots pour diffuser de la désinformation, harceler les acteurs de la société civile en ligne ou manipuler les conversations afin de les discréditer. </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280"/>
              <w:rPr>
                <w:rFonts w:ascii="Arial" w:hAnsi="Arial" w:eastAsia="Arial" w:cs="Arial"/>
              </w:rPr>
            </w:pPr>
            <w:r w:rsidRPr="582F23E0">
              <w:rPr>
                <w:rFonts w:ascii="Arial" w:hAnsi="Arial" w:eastAsia="Arial" w:cs="Arial"/>
                <w:b/>
                <w:bCs/>
                <w:lang w:val="en"/>
              </w:rPr>
              <w:lastRenderedPageBreak/>
            </w:r>
            <w:r w:rsidRPr="582F23E0">
              <w:rPr>
                <w:rFonts w:ascii="Arial" w:hAnsi="Arial" w:eastAsia="Arial" w:cs="Arial"/>
                <w:b/>
                <w:bCs/>
                <w:lang w:val="en"/>
              </w:rPr>
              <w:t xml:space="preserve">Partiellement favorable (3)</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rPr>
                <w:rFonts w:ascii="Arial" w:hAnsi="Arial" w:eastAsia="Arial" w:cs="Arial"/>
                <w:lang w:val="es-ES"/>
              </w:rPr>
            </w:pPr>
            <w:r w:rsidRPr="582F23E0">
              <w:rPr>
                <w:rFonts w:ascii="Arial" w:hAnsi="Arial" w:eastAsia="Arial" w:cs="Arial"/>
                <w:lang w:val="en-US"/>
              </w:rPr>
              <w:t xml:space="preserve">Il existe des preuves occasionnelles indiquant que le gouvernement ou d’autres acteurs (par exemple, des entreprises privées, des groupes non étatiques) sont liés à des cyberattaques, des logiciels espions, des logiciels malveillants ou des outils de piratage visant les acteurs de la société civile. Des lois sur la protection des données sont en place et relativement efficaces, avec une certaine application, et les mécanismes de recours sont accessibles mais pas universellement efficaces. Le gouvernement utilise sporadiquement des comptes de réseaux sociaux ou des bots pour diffuser de la désinformation, harceler les acteurs de la société civile ou influencer les conversations en ligne concernant ces acteurs et leur travail.</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280"/>
              <w:rPr>
                <w:rFonts w:ascii="Arial" w:hAnsi="Arial" w:eastAsia="Arial" w:cs="Arial"/>
              </w:rPr>
            </w:pPr>
            <w:r w:rsidRPr="582F23E0">
              <w:rPr>
                <w:rFonts w:ascii="Arial" w:hAnsi="Arial" w:eastAsia="Arial" w:cs="Arial"/>
                <w:b/>
                <w:bCs/>
                <w:lang w:val="en"/>
              </w:rPr>
              <w:t xml:space="preserve">Favorable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rPr>
                <w:rFonts w:ascii="Arial" w:hAnsi="Arial" w:eastAsia="Arial" w:cs="Arial"/>
              </w:rPr>
            </w:pPr>
            <w:r w:rsidRPr="6B082B04">
              <w:rPr>
                <w:rFonts w:ascii="Arial" w:hAnsi="Arial" w:eastAsia="Arial" w:cs="Arial"/>
                <w:lang w:val="en-US"/>
              </w:rPr>
              <w:t xml:space="preserve">Le gouvernement ou d'autres acteurs (par exemple, des entreprises privées, des groupes non étatiques) respectent généralement le droit des acteurs de la société civile à opérer en ligne sans se livrer à des cyberattaques soutenues par l'État ou à des violations de la vie privée. Des lois complètes et appliquées en matière de protection des données sont en vigueur, et des mécanismes de recours efficaces sont à la disposition des acteurs de la société civile. Le gouvernement peut utiliser occasionnellement les réseaux sociaux pour diffuser de la désinformation ou harceler les acteurs de la société civile, mais de telles actions sont rares et non systématiques.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280"/>
              <w:rPr>
                <w:rFonts w:ascii="Arial" w:hAnsi="Arial" w:eastAsia="Arial" w:cs="Arial"/>
              </w:rPr>
            </w:pPr>
            <w:r w:rsidRPr="582F23E0">
              <w:rPr>
                <w:rFonts w:ascii="Arial" w:hAnsi="Arial" w:eastAsia="Arial" w:cs="Arial"/>
                <w:b/>
                <w:bCs/>
                <w:lang w:val="en"/>
              </w:rPr>
              <w:t xml:space="preserve">Entièrement favorable (5)</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rPr>
                <w:rFonts w:ascii="Arial" w:hAnsi="Arial" w:eastAsia="Arial" w:cs="Arial"/>
              </w:rPr>
            </w:pPr>
            <w:r w:rsidRPr="6B082B04">
              <w:rPr>
                <w:rFonts w:ascii="Arial" w:hAnsi="Arial" w:eastAsia="Arial" w:cs="Arial"/>
                <w:lang w:val="en-US"/>
              </w:rPr>
              <w:t xml:space="preserve">Le gouvernement ou d’autres acteurs (par exemple, des entreprises privées, des groupes non étatiques) respectent pleinement le droit des OSC à opérer librement en ligne, sans que l’État ne commette à leur encontre de violations de la vie privée en ligne, telles que des cyberattaques, l’utilisation de logiciels espions, de logiciels malveillants ou d’autres outils de piratage. Des lois exhaustives sur la protection des données sont en vigueur et appliquées. Les acteurs de la société civile ont accès à des mécanismes solides pour demander réparation en cas de cyberattaques, et ces mécanismes sont généralement efficaces. Le gouvernement n'utilise pas les réseaux sociaux pour diffuser de la désinformation, intimider les acteurs de la société civile ou manipuler le discours en ligne.</w:t>
            </w:r>
          </w:p>
        </w:tc>
      </w:tr>
    </w:tbl>
    <w:p w:rsidR="002F6506" w:rsidP="002F6506" w:rsidRDefault="002F6506">
      <w:pPr>
        <w:rPr>
          <w:rFonts w:ascii="Arial" w:hAnsi="Arial" w:eastAsia="Arial" w:cs="Arial"/>
          <w:color w:val="000000" w:themeColor="text1"/>
        </w:rPr>
      </w:pPr>
    </w:p>
    <w:p w:rsidR="002F6506" w:rsidP="002F6506" w:rsidRDefault="002F6506">
      <w:pPr>
        <w:keepNext/>
        <w:keepLines/>
        <w:rPr>
          <w:rFonts w:ascii="Arial" w:hAnsi="Arial" w:eastAsia="Arial" w:cs="Arial"/>
          <w:color w:val="000000" w:themeColor="text1"/>
        </w:rPr>
      </w:pPr>
      <w:r w:rsidRPr="582F23E0">
        <w:rPr>
          <w:rFonts w:ascii="Arial" w:hAnsi="Arial" w:eastAsia="Arial" w:cs="Arial"/>
          <w:b/>
          <w:bCs/>
          <w:color w:val="000000" w:themeColor="text1"/>
          <w:lang w:val="en"/>
        </w:rPr>
        <w:t xml:space="preserve">6.3 | Accessibilité numérique</w:t>
      </w:r>
    </w:p>
    <w:p w:rsidR="002F6506" w:rsidP="002F6506" w:rsidRDefault="002F6506">
      <w:pPr>
        <w:shd w:val="clear" w:color="auto" w:fill="FFFFFF" w:themeFill="background1"/>
        <w:spacing w:before="240" w:after="240"/>
        <w:jc w:val="both"/>
        <w:rPr>
          <w:rFonts w:ascii="Arial" w:hAnsi="Arial" w:eastAsia="Arial" w:cs="Arial"/>
          <w:color w:val="000000" w:themeColor="text1"/>
        </w:rPr>
      </w:pPr>
      <w:r w:rsidRPr="582F23E0">
        <w:rPr>
          <w:rFonts w:ascii="Arial" w:hAnsi="Arial" w:eastAsia="Arial" w:cs="Arial"/>
          <w:color w:val="000000" w:themeColor="text1"/>
          <w:lang w:val="en"/>
        </w:rPr>
        <w:t xml:space="preserve">Questions :</w:t>
      </w:r>
    </w:p>
    <w:p w:rsidR="002F6506" w:rsidP="002F6506" w:rsidRDefault="002F6506">
      <w:pPr>
        <w:pStyle w:val="ListParagraph"/>
        <w:numPr>
          <w:ilvl w:val="0"/>
          <w:numId w:val="1"/>
        </w:numPr>
        <w:shd w:val="clear" w:color="auto" w:fill="FFFFFF" w:themeFill="background1"/>
        <w:spacing w:before="240" w:after="240"/>
        <w:jc w:val="both"/>
        <w:rPr>
          <w:rFonts w:ascii="Arial" w:hAnsi="Arial" w:eastAsia="Arial" w:cs="Arial"/>
          <w:color w:val="000000" w:themeColor="text1"/>
          <w:lang w:val="es-ES"/>
        </w:rPr>
      </w:pPr>
      <w:r w:rsidRPr="6B082B04">
        <w:rPr>
          <w:rFonts w:ascii="Arial" w:hAnsi="Arial" w:eastAsia="Arial" w:cs="Arial"/>
          <w:color w:val="000000" w:themeColor="text1"/>
          <w:lang w:val="en-US"/>
        </w:rPr>
        <w:t xml:space="preserve">Dans quelle mesure l'internet est-il accessible à travers le pays, notamment en termes de disponibilité, d'accessibilité financière et de qualité de service ? Dans quelle mesure les acteurs de la société civile sont-ils en mesure d'accéder à des contenus en ligne et de les partager ? </w:t>
      </w:r>
    </w:p>
    <w:p w:rsidR="002F6506" w:rsidP="002F6506" w:rsidRDefault="002F6506">
      <w:pPr>
        <w:pStyle w:val="ListParagraph"/>
        <w:numPr>
          <w:ilvl w:val="0"/>
          <w:numId w:val="1"/>
        </w:numPr>
        <w:shd w:val="clear" w:color="auto" w:fill="FFFFFF" w:themeFill="background1"/>
        <w:spacing w:before="240" w:after="240"/>
        <w:jc w:val="both"/>
        <w:rPr>
          <w:rFonts w:ascii="Arial" w:hAnsi="Arial" w:eastAsia="Arial" w:cs="Arial"/>
          <w:color w:val="000000" w:themeColor="text1"/>
        </w:rPr>
      </w:pPr>
      <w:r w:rsidRPr="6B082B04">
        <w:rPr>
          <w:rFonts w:ascii="Arial" w:hAnsi="Arial" w:eastAsia="Arial" w:cs="Arial"/>
          <w:color w:val="000000" w:themeColor="text1"/>
          <w:lang w:val="en-US"/>
        </w:rPr>
        <w:t xml:space="preserve">Quel est le niveau de compétences de base en TIC (culture de l'information et des données) au sein de la population générale et du personnel des OSC ? Évaluez si la population et le personnel des OSC possèdent les compétences adéquates pour utiliser efficacement les outils numériques et interpréter les informations en ligne.</w:t>
      </w:r>
    </w:p>
    <w:p w:rsidR="002F6506" w:rsidP="002F6506" w:rsidRDefault="002F6506">
      <w:pPr>
        <w:pStyle w:val="ListParagraph"/>
        <w:numPr>
          <w:ilvl w:val="0"/>
          <w:numId w:val="1"/>
        </w:numPr>
        <w:spacing w:after="0"/>
        <w:rPr>
          <w:rFonts w:ascii="Arial" w:hAnsi="Arial" w:eastAsia="Arial" w:cs="Arial"/>
          <w:color w:val="000000" w:themeColor="text1"/>
          <w:lang w:val="es-ES"/>
        </w:rPr>
      </w:pPr>
      <w:r w:rsidRPr="582F23E0">
        <w:rPr>
          <w:rFonts w:ascii="Arial" w:hAnsi="Arial" w:eastAsia="Arial" w:cs="Arial"/>
          <w:color w:val="000000" w:themeColor="text1"/>
          <w:lang w:val="en-US"/>
        </w:rPr>
        <w:t xml:space="preserve">Prenez en compte le rôle de l'intelligence artificielle (IA) et d'autres technologies émergentes dans le développement de l'accessibilité numérique et des compétences nécessaires pour utiliser ces outils. Dans quelle mesure les acteurs de la société civile et la population en général sont-ils équipés pour s'adapter à ces technologies ?</w:t>
      </w:r>
    </w:p>
    <w:p w:rsidR="002F6506" w:rsidP="002F6506" w:rsidRDefault="002F6506">
      <w:pPr>
        <w:spacing w:before="280" w:after="280"/>
        <w:rPr>
          <w:rFonts w:ascii="Arial" w:hAnsi="Arial" w:eastAsia="Arial" w:cs="Arial"/>
          <w:color w:val="000000" w:themeColor="text1"/>
        </w:rPr>
      </w:pPr>
      <w:r w:rsidRPr="582F23E0">
        <w:rPr>
          <w:rFonts w:ascii="Arial" w:hAnsi="Arial" w:eastAsia="Arial" w:cs="Arial"/>
          <w:b/>
          <w:bCs/>
          <w:color w:val="000000" w:themeColor="text1"/>
          <w:lang w:val="en"/>
        </w:rPr>
        <w:t xml:space="preserve">Grille d'évaluation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after="200"/>
              <w:rPr>
                <w:rFonts w:ascii="Arial" w:hAnsi="Arial" w:eastAsia="Arial" w:cs="Arial"/>
              </w:rPr>
            </w:pPr>
            <w:r w:rsidRPr="582F23E0">
              <w:rPr>
                <w:rFonts w:ascii="Arial" w:hAnsi="Arial" w:eastAsia="Arial" w:cs="Arial"/>
                <w:b/>
                <w:bCs/>
                <w:lang w:val="en"/>
              </w:rPr>
              <w:t xml:space="preserve">Entièrement invalidant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pBdr>
                <w:top w:val="nil"/>
                <w:left w:val="nil"/>
                <w:bottom w:val="nil"/>
                <w:right w:val="nil"/>
                <w:between w:val="nil"/>
              </w:pBdr>
              <w:rPr>
                <w:rFonts w:ascii="Arial" w:hAnsi="Arial" w:eastAsia="Arial" w:cs="Arial"/>
                <w:lang w:val="en-US"/>
              </w:rPr>
            </w:pPr>
            <w:r w:rsidRPr="6B082B04">
              <w:rPr>
                <w:rFonts w:ascii="Arial" w:hAnsi="Arial" w:eastAsia="Arial" w:cs="Arial"/>
                <w:lang w:val="en-US"/>
              </w:rPr>
              <w:t xml:space="preserve">Un taux de pénétration d’Internet très faible entrave la capacité des OSC à utiliser efficacement Internet, en particulier dans les environnements où l’accès n’est pas disponible, que ce soit pour les OSC elles-mêmes ou pour leurs publics cibles. De plus, le faible niveau de compétences de base en TIC en matière de maîtrise de l’information et des données au sein de la population crée des défis supplémentaires. Les compétences de base en TIC font cruellement défaut au sein de la population, ce qui fait </w:t>
            </w:r>
            <w:r w:rsidRPr="6B082B04">
              <w:rPr>
                <w:rFonts w:ascii="Arial" w:hAnsi="Arial" w:eastAsia="Arial" w:cs="Arial"/>
                <w:lang w:val="en-US"/>
              </w:rPr>
              <w:t xml:space="preserve">qu'</w:t>
            </w:r>
            <w:r w:rsidRPr="6B082B04">
              <w:rPr>
                <w:rFonts w:ascii="Arial" w:hAnsi="Arial" w:eastAsia="Arial" w:cs="Arial"/>
                <w:lang w:val="en-US"/>
              </w:rPr>
              <w:lastRenderedPageBreak/>
            </w:r>
            <w:r w:rsidRPr="6B082B04">
              <w:rPr>
                <w:rFonts w:ascii="Arial" w:hAnsi="Arial" w:eastAsia="Arial" w:cs="Arial"/>
                <w:lang w:val="en-US"/>
              </w:rPr>
              <w:t xml:space="preserve"> s d'OSC ont du mal à recruter du personnel qualifié. La population en général se heurte à des obstacles importants pour accéder au contenu des OSC ou l'interpréter en raison d'une culture numérique limitée, ce qui entrave également sa capacité (ainsi que celle des acteurs de la société civile) à s'adapter aux technologies émergentes, telles que l'IA.</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after="200"/>
              <w:rPr>
                <w:rFonts w:ascii="Arial" w:hAnsi="Arial" w:eastAsia="Arial" w:cs="Arial"/>
              </w:rPr>
            </w:pPr>
            <w:r w:rsidRPr="582F23E0">
              <w:rPr>
                <w:rFonts w:ascii="Arial" w:hAnsi="Arial" w:eastAsia="Arial" w:cs="Arial"/>
                <w:b/>
                <w:bCs/>
                <w:lang w:val="en"/>
              </w:rPr>
              <w:lastRenderedPageBreak/>
            </w:r>
            <w:r w:rsidRPr="582F23E0">
              <w:rPr>
                <w:rFonts w:ascii="Arial" w:hAnsi="Arial" w:eastAsia="Arial" w:cs="Arial"/>
                <w:b/>
                <w:bCs/>
                <w:lang w:val="en"/>
              </w:rPr>
              <w:t xml:space="preserve">Handicapant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pBdr>
                <w:top w:val="nil"/>
                <w:left w:val="nil"/>
                <w:bottom w:val="nil"/>
                <w:right w:val="nil"/>
                <w:between w:val="nil"/>
              </w:pBdr>
              <w:rPr>
                <w:rFonts w:ascii="Arial" w:hAnsi="Arial" w:eastAsia="Arial" w:cs="Arial"/>
                <w:lang w:val="en-US"/>
              </w:rPr>
            </w:pPr>
            <w:r w:rsidRPr="6B082B04">
              <w:rPr>
                <w:rFonts w:ascii="Arial" w:hAnsi="Arial" w:eastAsia="Arial" w:cs="Arial"/>
                <w:lang w:val="en-US"/>
              </w:rPr>
              <w:t xml:space="preserve">Un faible taux de pénétration d’Internet entrave la capacité des OSC à utiliser efficacement Internet, en particulier dans les environnements où l’accès n’est pas disponible, que ce soit pour les OSC elles-mêmes ou pour leurs publics cibles. Les compétences de base en TIC de la population sont insuffisantes, ce qui pose des défis aux OSC qui doivent souvent compter sur une main-d'œuvre peu qualifiée sur le plan numérique. Le public cible a également régulièrement du mal à accéder au contenu des OSC ou à le comprendre en raison d'une faible culture numérique, ce qui limite également sa capacité (ainsi que celle des acteurs de la société civile) à s'adapter aux technologies émergentes, telles que l'IA.</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after="200"/>
              <w:rPr>
                <w:rFonts w:ascii="Arial" w:hAnsi="Arial" w:eastAsia="Arial" w:cs="Arial"/>
              </w:rPr>
            </w:pPr>
            <w:r w:rsidRPr="582F23E0">
              <w:rPr>
                <w:rFonts w:ascii="Arial" w:hAnsi="Arial" w:eastAsia="Arial" w:cs="Arial"/>
                <w:b/>
                <w:bCs/>
                <w:lang w:val="en-US"/>
              </w:rPr>
              <w:t xml:space="preserve">Facilitation partielle (3)</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pBdr>
                <w:top w:val="nil"/>
                <w:left w:val="nil"/>
                <w:bottom w:val="nil"/>
                <w:right w:val="nil"/>
                <w:between w:val="nil"/>
              </w:pBdr>
              <w:rPr>
                <w:rFonts w:ascii="Arial" w:hAnsi="Arial" w:eastAsia="Arial" w:cs="Arial"/>
                <w:lang w:val="en-US"/>
              </w:rPr>
            </w:pPr>
            <w:r w:rsidRPr="6B082B04">
              <w:rPr>
                <w:rFonts w:ascii="Arial" w:hAnsi="Arial" w:eastAsia="Arial" w:cs="Arial"/>
                <w:lang w:val="en-US"/>
              </w:rPr>
              <w:t xml:space="preserve">Un taux de pénétration d’Internet modéré entrave quelque peu la capacité des OSC à utiliser efficacement Internet, en particulier dans les environnements où l’accès n’est pas disponible, que ce soit pour les OSC elles-mêmes ou pour leurs publics cibles. Les compétences de base en TIC de la population se situent à un niveau modéré, ce qui signifie que certains défis subsistent pour les OSC qui pourraient devoir recruter des travailleurs possédant des compétences numériques intermédiaires. Le public cible rencontre parfois des difficultés pour accéder aux contenus des OSC ou les interpréter en raison d’une culture numérique limitée, ce qui limite également sa capacité (ainsi que celle des acteurs de la société civile) à s’adapter aux technologies émergentes, telles que l’IA.</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after="200"/>
              <w:rPr>
                <w:rFonts w:ascii="Arial" w:hAnsi="Arial" w:eastAsia="Arial" w:cs="Arial"/>
              </w:rPr>
            </w:pPr>
            <w:r w:rsidRPr="582F23E0">
              <w:rPr>
                <w:rFonts w:ascii="Arial" w:hAnsi="Arial" w:eastAsia="Arial" w:cs="Arial"/>
                <w:b/>
                <w:bCs/>
                <w:lang w:val="en"/>
              </w:rPr>
              <w:t xml:space="preserve"> Facilitation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pBdr>
                <w:top w:val="nil"/>
                <w:left w:val="nil"/>
                <w:bottom w:val="nil"/>
                <w:right w:val="nil"/>
                <w:between w:val="nil"/>
              </w:pBdr>
              <w:rPr>
                <w:rFonts w:ascii="Arial" w:hAnsi="Arial" w:eastAsia="Arial" w:cs="Arial"/>
                <w:color w:val="000000" w:themeColor="text1"/>
                <w:lang w:val="en-US"/>
              </w:rPr>
            </w:pPr>
            <w:r w:rsidRPr="6B082B04">
              <w:rPr>
                <w:rFonts w:ascii="Arial" w:hAnsi="Arial" w:eastAsia="Arial" w:cs="Arial"/>
                <w:lang w:val="en-US"/>
              </w:rPr>
              <w:t xml:space="preserve">Un taux de pénétration élevé d’Internet permet aux OSC d’utiliser efficacement Internet. De plus, l’amélioration des compétences de base en TIC et de la maîtrise de l’information et des données au sein de la population réduit les difficultés. Cela permet aux OSC de recruter parmi un vivier de main-d’œuvre qualifiée en TIC, et leurs publics cibles ne rencontrent généralement pas d’obstacles significatifs pour accéder au travail des OSC ou le comprendre. </w:t>
            </w:r>
            <w:r w:rsidRPr="6B082B04">
              <w:rPr>
                <w:rFonts w:ascii="Arial" w:hAnsi="Arial" w:eastAsia="Arial" w:cs="Arial"/>
                <w:color w:val="000000" w:themeColor="text1"/>
                <w:lang w:val="en-US"/>
              </w:rPr>
              <w:t xml:space="preserve">Les acteurs de la société civile et la population en général sont bien équipés pour s’engager avec les technologies émergentes, telles que l’IA.</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after="200"/>
              <w:rPr>
                <w:rFonts w:ascii="Arial" w:hAnsi="Arial" w:eastAsia="Arial" w:cs="Arial"/>
              </w:rPr>
            </w:pPr>
            <w:r w:rsidRPr="582F23E0">
              <w:rPr>
                <w:rFonts w:ascii="Arial" w:hAnsi="Arial" w:eastAsia="Arial" w:cs="Arial"/>
                <w:b/>
                <w:bCs/>
                <w:lang w:val="en"/>
              </w:rPr>
              <w:t xml:space="preserve">Conditions pleinement réunies (5)</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pBdr>
                <w:top w:val="nil"/>
                <w:left w:val="nil"/>
                <w:bottom w:val="nil"/>
                <w:right w:val="nil"/>
                <w:between w:val="nil"/>
              </w:pBdr>
              <w:rPr>
                <w:rFonts w:ascii="Arial" w:hAnsi="Arial" w:eastAsia="Arial" w:cs="Arial"/>
              </w:rPr>
            </w:pPr>
            <w:r w:rsidRPr="6B082B04">
              <w:rPr>
                <w:rFonts w:ascii="Arial" w:hAnsi="Arial" w:eastAsia="Arial" w:cs="Arial"/>
                <w:lang w:val="en-US"/>
              </w:rPr>
              <w:t xml:space="preserve">Un taux de pénétration d’Internet très élevé permet aux OSC d’utiliser efficacement Internet. La population dispose d’un niveau élevé de culture numérique, ce qui élimine la plupart des difficultés. Les OSC peuvent facilement recruter des professionnels qualifiés dans le domaine des TIC, et leurs publics cibles peuvent accéder sans difficulté au contenu produit par les OSC et l’interpréter. La population et les acteurs de la société civile sont également bien équipés pour s’engager avec les technologies émergentes, telles que l’IA.</w:t>
            </w:r>
          </w:p>
        </w:tc>
      </w:tr>
    </w:tbl>
    <w:p w:rsidR="002F6506" w:rsidP="002F6506" w:rsidRDefault="002F6506">
      <w:pPr>
        <w:rPr>
          <w:rFonts w:ascii="Arial" w:hAnsi="Arial" w:eastAsia="Arial" w:cs="Arial"/>
          <w:color w:val="000000" w:themeColor="text1"/>
        </w:rPr>
      </w:pPr>
    </w:p>
    <w:p w:rsidR="002F6506" w:rsidP="002F6506" w:rsidRDefault="002F6506">
      <w:pPr>
        <w:rPr>
          <w:rFonts w:ascii="Aptos" w:hAnsi="Aptos" w:eastAsia="Aptos" w:cs="Aptos"/>
          <w:color w:val="000000" w:themeColor="text1"/>
          <w:sz w:val="24"/>
          <w:szCs w:val="24"/>
        </w:rPr>
      </w:pPr>
    </w:p>
    <w:p w:rsidR="00E84CE3" w:rsidRDefault="002F6506"/>
    <w:sectPr w:rsidR="00E84C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2DE5A"/>
    <w:multiLevelType w:val="hybridMultilevel"/>
    <w:tmpl w:val="A9A21820"/>
    <w:lvl w:ilvl="0" w:tplc="DD884A70">
      <w:start w:val="1"/>
      <w:numFmt w:val="bullet"/>
      <w:lvlText w:val="●"/>
      <w:lvlJc w:val="left"/>
      <w:pPr>
        <w:ind w:left="720" w:hanging="360"/>
      </w:pPr>
      <w:rPr>
        <w:rFonts w:ascii="Symbol" w:hAnsi="Symbol" w:hint="default"/>
      </w:rPr>
    </w:lvl>
    <w:lvl w:ilvl="1" w:tplc="19D0BE5A">
      <w:start w:val="1"/>
      <w:numFmt w:val="bullet"/>
      <w:lvlText w:val="o"/>
      <w:lvlJc w:val="left"/>
      <w:pPr>
        <w:ind w:left="1440" w:hanging="360"/>
      </w:pPr>
      <w:rPr>
        <w:rFonts w:ascii="Courier New" w:hAnsi="Courier New" w:hint="default"/>
      </w:rPr>
    </w:lvl>
    <w:lvl w:ilvl="2" w:tplc="28D4A84A">
      <w:start w:val="1"/>
      <w:numFmt w:val="bullet"/>
      <w:lvlText w:val=""/>
      <w:lvlJc w:val="left"/>
      <w:pPr>
        <w:ind w:left="2160" w:hanging="360"/>
      </w:pPr>
      <w:rPr>
        <w:rFonts w:ascii="Wingdings" w:hAnsi="Wingdings" w:hint="default"/>
      </w:rPr>
    </w:lvl>
    <w:lvl w:ilvl="3" w:tplc="B52A9206">
      <w:start w:val="1"/>
      <w:numFmt w:val="bullet"/>
      <w:lvlText w:val=""/>
      <w:lvlJc w:val="left"/>
      <w:pPr>
        <w:ind w:left="2880" w:hanging="360"/>
      </w:pPr>
      <w:rPr>
        <w:rFonts w:ascii="Symbol" w:hAnsi="Symbol" w:hint="default"/>
      </w:rPr>
    </w:lvl>
    <w:lvl w:ilvl="4" w:tplc="7A14F11E">
      <w:start w:val="1"/>
      <w:numFmt w:val="bullet"/>
      <w:lvlText w:val="o"/>
      <w:lvlJc w:val="left"/>
      <w:pPr>
        <w:ind w:left="3600" w:hanging="360"/>
      </w:pPr>
      <w:rPr>
        <w:rFonts w:ascii="Courier New" w:hAnsi="Courier New" w:hint="default"/>
      </w:rPr>
    </w:lvl>
    <w:lvl w:ilvl="5" w:tplc="8B804466">
      <w:start w:val="1"/>
      <w:numFmt w:val="bullet"/>
      <w:lvlText w:val=""/>
      <w:lvlJc w:val="left"/>
      <w:pPr>
        <w:ind w:left="4320" w:hanging="360"/>
      </w:pPr>
      <w:rPr>
        <w:rFonts w:ascii="Wingdings" w:hAnsi="Wingdings" w:hint="default"/>
      </w:rPr>
    </w:lvl>
    <w:lvl w:ilvl="6" w:tplc="6E5A04CC">
      <w:start w:val="1"/>
      <w:numFmt w:val="bullet"/>
      <w:lvlText w:val=""/>
      <w:lvlJc w:val="left"/>
      <w:pPr>
        <w:ind w:left="5040" w:hanging="360"/>
      </w:pPr>
      <w:rPr>
        <w:rFonts w:ascii="Symbol" w:hAnsi="Symbol" w:hint="default"/>
      </w:rPr>
    </w:lvl>
    <w:lvl w:ilvl="7" w:tplc="535C4E82">
      <w:start w:val="1"/>
      <w:numFmt w:val="bullet"/>
      <w:lvlText w:val="o"/>
      <w:lvlJc w:val="left"/>
      <w:pPr>
        <w:ind w:left="5760" w:hanging="360"/>
      </w:pPr>
      <w:rPr>
        <w:rFonts w:ascii="Courier New" w:hAnsi="Courier New" w:hint="default"/>
      </w:rPr>
    </w:lvl>
    <w:lvl w:ilvl="8" w:tplc="514C4B58">
      <w:start w:val="1"/>
      <w:numFmt w:val="bullet"/>
      <w:lvlText w:val=""/>
      <w:lvlJc w:val="left"/>
      <w:pPr>
        <w:ind w:left="6480" w:hanging="360"/>
      </w:pPr>
      <w:rPr>
        <w:rFonts w:ascii="Wingdings" w:hAnsi="Wingdings" w:hint="default"/>
      </w:rPr>
    </w:lvl>
  </w:abstractNum>
  <w:abstractNum w:abstractNumId="1" w15:restartNumberingAfterBreak="0">
    <w:nsid w:val="12999F5B"/>
    <w:multiLevelType w:val="hybridMultilevel"/>
    <w:tmpl w:val="28268FAA"/>
    <w:lvl w:ilvl="0" w:tplc="01C409DA">
      <w:start w:val="1"/>
      <w:numFmt w:val="bullet"/>
      <w:lvlText w:val="●"/>
      <w:lvlJc w:val="left"/>
      <w:pPr>
        <w:ind w:left="720" w:hanging="360"/>
      </w:pPr>
      <w:rPr>
        <w:rFonts w:ascii="Symbol" w:hAnsi="Symbol" w:hint="default"/>
      </w:rPr>
    </w:lvl>
    <w:lvl w:ilvl="1" w:tplc="3E9E9C94">
      <w:start w:val="1"/>
      <w:numFmt w:val="bullet"/>
      <w:lvlText w:val="o"/>
      <w:lvlJc w:val="left"/>
      <w:pPr>
        <w:ind w:left="1440" w:hanging="360"/>
      </w:pPr>
      <w:rPr>
        <w:rFonts w:ascii="Courier New" w:hAnsi="Courier New" w:hint="default"/>
      </w:rPr>
    </w:lvl>
    <w:lvl w:ilvl="2" w:tplc="51DCF75C">
      <w:start w:val="1"/>
      <w:numFmt w:val="bullet"/>
      <w:lvlText w:val=""/>
      <w:lvlJc w:val="left"/>
      <w:pPr>
        <w:ind w:left="2160" w:hanging="360"/>
      </w:pPr>
      <w:rPr>
        <w:rFonts w:ascii="Wingdings" w:hAnsi="Wingdings" w:hint="default"/>
      </w:rPr>
    </w:lvl>
    <w:lvl w:ilvl="3" w:tplc="068464CC">
      <w:start w:val="1"/>
      <w:numFmt w:val="bullet"/>
      <w:lvlText w:val=""/>
      <w:lvlJc w:val="left"/>
      <w:pPr>
        <w:ind w:left="2880" w:hanging="360"/>
      </w:pPr>
      <w:rPr>
        <w:rFonts w:ascii="Symbol" w:hAnsi="Symbol" w:hint="default"/>
      </w:rPr>
    </w:lvl>
    <w:lvl w:ilvl="4" w:tplc="6F14C92A">
      <w:start w:val="1"/>
      <w:numFmt w:val="bullet"/>
      <w:lvlText w:val="o"/>
      <w:lvlJc w:val="left"/>
      <w:pPr>
        <w:ind w:left="3600" w:hanging="360"/>
      </w:pPr>
      <w:rPr>
        <w:rFonts w:ascii="Courier New" w:hAnsi="Courier New" w:hint="default"/>
      </w:rPr>
    </w:lvl>
    <w:lvl w:ilvl="5" w:tplc="E54E866E">
      <w:start w:val="1"/>
      <w:numFmt w:val="bullet"/>
      <w:lvlText w:val=""/>
      <w:lvlJc w:val="left"/>
      <w:pPr>
        <w:ind w:left="4320" w:hanging="360"/>
      </w:pPr>
      <w:rPr>
        <w:rFonts w:ascii="Wingdings" w:hAnsi="Wingdings" w:hint="default"/>
      </w:rPr>
    </w:lvl>
    <w:lvl w:ilvl="6" w:tplc="8DB28E8E">
      <w:start w:val="1"/>
      <w:numFmt w:val="bullet"/>
      <w:lvlText w:val=""/>
      <w:lvlJc w:val="left"/>
      <w:pPr>
        <w:ind w:left="5040" w:hanging="360"/>
      </w:pPr>
      <w:rPr>
        <w:rFonts w:ascii="Symbol" w:hAnsi="Symbol" w:hint="default"/>
      </w:rPr>
    </w:lvl>
    <w:lvl w:ilvl="7" w:tplc="86247848">
      <w:start w:val="1"/>
      <w:numFmt w:val="bullet"/>
      <w:lvlText w:val="o"/>
      <w:lvlJc w:val="left"/>
      <w:pPr>
        <w:ind w:left="5760" w:hanging="360"/>
      </w:pPr>
      <w:rPr>
        <w:rFonts w:ascii="Courier New" w:hAnsi="Courier New" w:hint="default"/>
      </w:rPr>
    </w:lvl>
    <w:lvl w:ilvl="8" w:tplc="BC743C4C">
      <w:start w:val="1"/>
      <w:numFmt w:val="bullet"/>
      <w:lvlText w:val=""/>
      <w:lvlJc w:val="left"/>
      <w:pPr>
        <w:ind w:left="6480" w:hanging="360"/>
      </w:pPr>
      <w:rPr>
        <w:rFonts w:ascii="Wingdings" w:hAnsi="Wingdings" w:hint="default"/>
      </w:rPr>
    </w:lvl>
  </w:abstractNum>
  <w:abstractNum w:abstractNumId="2" w15:restartNumberingAfterBreak="0">
    <w:nsid w:val="16BF7769"/>
    <w:multiLevelType w:val="hybridMultilevel"/>
    <w:tmpl w:val="51E2D24E"/>
    <w:lvl w:ilvl="0" w:tplc="99A61030">
      <w:start w:val="1"/>
      <w:numFmt w:val="bullet"/>
      <w:lvlText w:val="·"/>
      <w:lvlJc w:val="left"/>
      <w:pPr>
        <w:ind w:left="720" w:hanging="360"/>
      </w:pPr>
      <w:rPr>
        <w:rFonts w:ascii="Symbol" w:hAnsi="Symbol" w:hint="default"/>
      </w:rPr>
    </w:lvl>
    <w:lvl w:ilvl="1" w:tplc="4080C6DC">
      <w:start w:val="1"/>
      <w:numFmt w:val="bullet"/>
      <w:lvlText w:val="o"/>
      <w:lvlJc w:val="left"/>
      <w:pPr>
        <w:ind w:left="1440" w:hanging="360"/>
      </w:pPr>
      <w:rPr>
        <w:rFonts w:ascii="Courier New" w:hAnsi="Courier New" w:hint="default"/>
      </w:rPr>
    </w:lvl>
    <w:lvl w:ilvl="2" w:tplc="98B86FAA">
      <w:start w:val="1"/>
      <w:numFmt w:val="bullet"/>
      <w:lvlText w:val=""/>
      <w:lvlJc w:val="left"/>
      <w:pPr>
        <w:ind w:left="2160" w:hanging="360"/>
      </w:pPr>
      <w:rPr>
        <w:rFonts w:ascii="Wingdings" w:hAnsi="Wingdings" w:hint="default"/>
      </w:rPr>
    </w:lvl>
    <w:lvl w:ilvl="3" w:tplc="3D3C7934">
      <w:start w:val="1"/>
      <w:numFmt w:val="bullet"/>
      <w:lvlText w:val=""/>
      <w:lvlJc w:val="left"/>
      <w:pPr>
        <w:ind w:left="2880" w:hanging="360"/>
      </w:pPr>
      <w:rPr>
        <w:rFonts w:ascii="Symbol" w:hAnsi="Symbol" w:hint="default"/>
      </w:rPr>
    </w:lvl>
    <w:lvl w:ilvl="4" w:tplc="5CB8667E">
      <w:start w:val="1"/>
      <w:numFmt w:val="bullet"/>
      <w:lvlText w:val="o"/>
      <w:lvlJc w:val="left"/>
      <w:pPr>
        <w:ind w:left="3600" w:hanging="360"/>
      </w:pPr>
      <w:rPr>
        <w:rFonts w:ascii="Courier New" w:hAnsi="Courier New" w:hint="default"/>
      </w:rPr>
    </w:lvl>
    <w:lvl w:ilvl="5" w:tplc="7D02268C">
      <w:start w:val="1"/>
      <w:numFmt w:val="bullet"/>
      <w:lvlText w:val=""/>
      <w:lvlJc w:val="left"/>
      <w:pPr>
        <w:ind w:left="4320" w:hanging="360"/>
      </w:pPr>
      <w:rPr>
        <w:rFonts w:ascii="Wingdings" w:hAnsi="Wingdings" w:hint="default"/>
      </w:rPr>
    </w:lvl>
    <w:lvl w:ilvl="6" w:tplc="39BC5772">
      <w:start w:val="1"/>
      <w:numFmt w:val="bullet"/>
      <w:lvlText w:val=""/>
      <w:lvlJc w:val="left"/>
      <w:pPr>
        <w:ind w:left="5040" w:hanging="360"/>
      </w:pPr>
      <w:rPr>
        <w:rFonts w:ascii="Symbol" w:hAnsi="Symbol" w:hint="default"/>
      </w:rPr>
    </w:lvl>
    <w:lvl w:ilvl="7" w:tplc="20C45932">
      <w:start w:val="1"/>
      <w:numFmt w:val="bullet"/>
      <w:lvlText w:val="o"/>
      <w:lvlJc w:val="left"/>
      <w:pPr>
        <w:ind w:left="5760" w:hanging="360"/>
      </w:pPr>
      <w:rPr>
        <w:rFonts w:ascii="Courier New" w:hAnsi="Courier New" w:hint="default"/>
      </w:rPr>
    </w:lvl>
    <w:lvl w:ilvl="8" w:tplc="4570428E">
      <w:start w:val="1"/>
      <w:numFmt w:val="bullet"/>
      <w:lvlText w:val=""/>
      <w:lvlJc w:val="left"/>
      <w:pPr>
        <w:ind w:left="6480" w:hanging="360"/>
      </w:pPr>
      <w:rPr>
        <w:rFonts w:ascii="Wingdings" w:hAnsi="Wingdings" w:hint="default"/>
      </w:rPr>
    </w:lvl>
  </w:abstractNum>
  <w:abstractNum w:abstractNumId="3" w15:restartNumberingAfterBreak="0">
    <w:nsid w:val="16E7ADBF"/>
    <w:multiLevelType w:val="multilevel"/>
    <w:tmpl w:val="652E23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859173E"/>
    <w:multiLevelType w:val="multilevel"/>
    <w:tmpl w:val="58AC49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8ECF52B"/>
    <w:multiLevelType w:val="hybridMultilevel"/>
    <w:tmpl w:val="A6163D86"/>
    <w:lvl w:ilvl="0" w:tplc="BDCE0EF8">
      <w:start w:val="1"/>
      <w:numFmt w:val="bullet"/>
      <w:lvlText w:val=""/>
      <w:lvlJc w:val="left"/>
      <w:pPr>
        <w:ind w:left="720" w:hanging="360"/>
      </w:pPr>
      <w:rPr>
        <w:rFonts w:ascii="Symbol" w:hAnsi="Symbol" w:hint="default"/>
      </w:rPr>
    </w:lvl>
    <w:lvl w:ilvl="1" w:tplc="882C8766">
      <w:start w:val="1"/>
      <w:numFmt w:val="bullet"/>
      <w:lvlText w:val="o"/>
      <w:lvlJc w:val="left"/>
      <w:pPr>
        <w:ind w:left="1440" w:hanging="360"/>
      </w:pPr>
      <w:rPr>
        <w:rFonts w:ascii="Courier New" w:hAnsi="Courier New" w:hint="default"/>
      </w:rPr>
    </w:lvl>
    <w:lvl w:ilvl="2" w:tplc="EB748838">
      <w:start w:val="1"/>
      <w:numFmt w:val="bullet"/>
      <w:lvlText w:val=""/>
      <w:lvlJc w:val="left"/>
      <w:pPr>
        <w:ind w:left="2160" w:hanging="360"/>
      </w:pPr>
      <w:rPr>
        <w:rFonts w:ascii="Wingdings" w:hAnsi="Wingdings" w:hint="default"/>
      </w:rPr>
    </w:lvl>
    <w:lvl w:ilvl="3" w:tplc="2D16135E">
      <w:start w:val="1"/>
      <w:numFmt w:val="bullet"/>
      <w:lvlText w:val=""/>
      <w:lvlJc w:val="left"/>
      <w:pPr>
        <w:ind w:left="2880" w:hanging="360"/>
      </w:pPr>
      <w:rPr>
        <w:rFonts w:ascii="Symbol" w:hAnsi="Symbol" w:hint="default"/>
      </w:rPr>
    </w:lvl>
    <w:lvl w:ilvl="4" w:tplc="4F363B5E">
      <w:start w:val="1"/>
      <w:numFmt w:val="bullet"/>
      <w:lvlText w:val="o"/>
      <w:lvlJc w:val="left"/>
      <w:pPr>
        <w:ind w:left="3600" w:hanging="360"/>
      </w:pPr>
      <w:rPr>
        <w:rFonts w:ascii="Courier New" w:hAnsi="Courier New" w:hint="default"/>
      </w:rPr>
    </w:lvl>
    <w:lvl w:ilvl="5" w:tplc="17CAF20A">
      <w:start w:val="1"/>
      <w:numFmt w:val="bullet"/>
      <w:lvlText w:val=""/>
      <w:lvlJc w:val="left"/>
      <w:pPr>
        <w:ind w:left="4320" w:hanging="360"/>
      </w:pPr>
      <w:rPr>
        <w:rFonts w:ascii="Wingdings" w:hAnsi="Wingdings" w:hint="default"/>
      </w:rPr>
    </w:lvl>
    <w:lvl w:ilvl="6" w:tplc="18D2AD9C">
      <w:start w:val="1"/>
      <w:numFmt w:val="bullet"/>
      <w:lvlText w:val=""/>
      <w:lvlJc w:val="left"/>
      <w:pPr>
        <w:ind w:left="5040" w:hanging="360"/>
      </w:pPr>
      <w:rPr>
        <w:rFonts w:ascii="Symbol" w:hAnsi="Symbol" w:hint="default"/>
      </w:rPr>
    </w:lvl>
    <w:lvl w:ilvl="7" w:tplc="E76A502E">
      <w:start w:val="1"/>
      <w:numFmt w:val="bullet"/>
      <w:lvlText w:val="o"/>
      <w:lvlJc w:val="left"/>
      <w:pPr>
        <w:ind w:left="5760" w:hanging="360"/>
      </w:pPr>
      <w:rPr>
        <w:rFonts w:ascii="Courier New" w:hAnsi="Courier New" w:hint="default"/>
      </w:rPr>
    </w:lvl>
    <w:lvl w:ilvl="8" w:tplc="6DCA4488">
      <w:start w:val="1"/>
      <w:numFmt w:val="bullet"/>
      <w:lvlText w:val=""/>
      <w:lvlJc w:val="left"/>
      <w:pPr>
        <w:ind w:left="6480" w:hanging="360"/>
      </w:pPr>
      <w:rPr>
        <w:rFonts w:ascii="Wingdings" w:hAnsi="Wingdings" w:hint="default"/>
      </w:rPr>
    </w:lvl>
  </w:abstractNum>
  <w:abstractNum w:abstractNumId="6" w15:restartNumberingAfterBreak="0">
    <w:nsid w:val="2BDBD854"/>
    <w:multiLevelType w:val="multilevel"/>
    <w:tmpl w:val="F8E4C5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94704B2"/>
    <w:multiLevelType w:val="hybridMultilevel"/>
    <w:tmpl w:val="6A023D8A"/>
    <w:lvl w:ilvl="0" w:tplc="39C8F9EC">
      <w:start w:val="1"/>
      <w:numFmt w:val="bullet"/>
      <w:lvlText w:val=""/>
      <w:lvlJc w:val="left"/>
      <w:pPr>
        <w:ind w:left="720" w:hanging="360"/>
      </w:pPr>
      <w:rPr>
        <w:rFonts w:ascii="Symbol" w:hAnsi="Symbol" w:hint="default"/>
      </w:rPr>
    </w:lvl>
    <w:lvl w:ilvl="1" w:tplc="7B0E4C6A">
      <w:start w:val="1"/>
      <w:numFmt w:val="bullet"/>
      <w:lvlText w:val="o"/>
      <w:lvlJc w:val="left"/>
      <w:pPr>
        <w:ind w:left="1440" w:hanging="360"/>
      </w:pPr>
      <w:rPr>
        <w:rFonts w:ascii="Courier New" w:hAnsi="Courier New" w:hint="default"/>
      </w:rPr>
    </w:lvl>
    <w:lvl w:ilvl="2" w:tplc="DEF047DC">
      <w:start w:val="1"/>
      <w:numFmt w:val="bullet"/>
      <w:lvlText w:val=""/>
      <w:lvlJc w:val="left"/>
      <w:pPr>
        <w:ind w:left="2160" w:hanging="360"/>
      </w:pPr>
      <w:rPr>
        <w:rFonts w:ascii="Wingdings" w:hAnsi="Wingdings" w:hint="default"/>
      </w:rPr>
    </w:lvl>
    <w:lvl w:ilvl="3" w:tplc="19785E42">
      <w:start w:val="1"/>
      <w:numFmt w:val="bullet"/>
      <w:lvlText w:val=""/>
      <w:lvlJc w:val="left"/>
      <w:pPr>
        <w:ind w:left="2880" w:hanging="360"/>
      </w:pPr>
      <w:rPr>
        <w:rFonts w:ascii="Symbol" w:hAnsi="Symbol" w:hint="default"/>
      </w:rPr>
    </w:lvl>
    <w:lvl w:ilvl="4" w:tplc="684A7372">
      <w:start w:val="1"/>
      <w:numFmt w:val="bullet"/>
      <w:lvlText w:val="o"/>
      <w:lvlJc w:val="left"/>
      <w:pPr>
        <w:ind w:left="3600" w:hanging="360"/>
      </w:pPr>
      <w:rPr>
        <w:rFonts w:ascii="Courier New" w:hAnsi="Courier New" w:hint="default"/>
      </w:rPr>
    </w:lvl>
    <w:lvl w:ilvl="5" w:tplc="624C682A">
      <w:start w:val="1"/>
      <w:numFmt w:val="bullet"/>
      <w:lvlText w:val=""/>
      <w:lvlJc w:val="left"/>
      <w:pPr>
        <w:ind w:left="4320" w:hanging="360"/>
      </w:pPr>
      <w:rPr>
        <w:rFonts w:ascii="Wingdings" w:hAnsi="Wingdings" w:hint="default"/>
      </w:rPr>
    </w:lvl>
    <w:lvl w:ilvl="6" w:tplc="74FC6486">
      <w:start w:val="1"/>
      <w:numFmt w:val="bullet"/>
      <w:lvlText w:val=""/>
      <w:lvlJc w:val="left"/>
      <w:pPr>
        <w:ind w:left="5040" w:hanging="360"/>
      </w:pPr>
      <w:rPr>
        <w:rFonts w:ascii="Symbol" w:hAnsi="Symbol" w:hint="default"/>
      </w:rPr>
    </w:lvl>
    <w:lvl w:ilvl="7" w:tplc="DCF667C4">
      <w:start w:val="1"/>
      <w:numFmt w:val="bullet"/>
      <w:lvlText w:val="o"/>
      <w:lvlJc w:val="left"/>
      <w:pPr>
        <w:ind w:left="5760" w:hanging="360"/>
      </w:pPr>
      <w:rPr>
        <w:rFonts w:ascii="Courier New" w:hAnsi="Courier New" w:hint="default"/>
      </w:rPr>
    </w:lvl>
    <w:lvl w:ilvl="8" w:tplc="2C064F52">
      <w:start w:val="1"/>
      <w:numFmt w:val="bullet"/>
      <w:lvlText w:val=""/>
      <w:lvlJc w:val="left"/>
      <w:pPr>
        <w:ind w:left="6480" w:hanging="360"/>
      </w:pPr>
      <w:rPr>
        <w:rFonts w:ascii="Wingdings" w:hAnsi="Wingdings" w:hint="default"/>
      </w:rPr>
    </w:lvl>
  </w:abstractNum>
  <w:abstractNum w:abstractNumId="8" w15:restartNumberingAfterBreak="0">
    <w:nsid w:val="39AE63E1"/>
    <w:multiLevelType w:val="multilevel"/>
    <w:tmpl w:val="36AE04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1882B34"/>
    <w:multiLevelType w:val="multilevel"/>
    <w:tmpl w:val="A5A06A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2904E6D"/>
    <w:multiLevelType w:val="hybridMultilevel"/>
    <w:tmpl w:val="68F645AE"/>
    <w:lvl w:ilvl="0" w:tplc="75EC84DE">
      <w:start w:val="1"/>
      <w:numFmt w:val="bullet"/>
      <w:lvlText w:val=""/>
      <w:lvlJc w:val="left"/>
      <w:pPr>
        <w:ind w:left="720" w:hanging="360"/>
      </w:pPr>
      <w:rPr>
        <w:rFonts w:ascii="Symbol" w:hAnsi="Symbol" w:hint="default"/>
      </w:rPr>
    </w:lvl>
    <w:lvl w:ilvl="1" w:tplc="B5B8F2EC">
      <w:start w:val="1"/>
      <w:numFmt w:val="bullet"/>
      <w:lvlText w:val="o"/>
      <w:lvlJc w:val="left"/>
      <w:pPr>
        <w:ind w:left="1440" w:hanging="360"/>
      </w:pPr>
      <w:rPr>
        <w:rFonts w:ascii="Courier New" w:hAnsi="Courier New" w:hint="default"/>
      </w:rPr>
    </w:lvl>
    <w:lvl w:ilvl="2" w:tplc="F57E9362">
      <w:start w:val="1"/>
      <w:numFmt w:val="bullet"/>
      <w:lvlText w:val=""/>
      <w:lvlJc w:val="left"/>
      <w:pPr>
        <w:ind w:left="2160" w:hanging="360"/>
      </w:pPr>
      <w:rPr>
        <w:rFonts w:ascii="Wingdings" w:hAnsi="Wingdings" w:hint="default"/>
      </w:rPr>
    </w:lvl>
    <w:lvl w:ilvl="3" w:tplc="C0C4AF08">
      <w:start w:val="1"/>
      <w:numFmt w:val="bullet"/>
      <w:lvlText w:val=""/>
      <w:lvlJc w:val="left"/>
      <w:pPr>
        <w:ind w:left="2880" w:hanging="360"/>
      </w:pPr>
      <w:rPr>
        <w:rFonts w:ascii="Symbol" w:hAnsi="Symbol" w:hint="default"/>
      </w:rPr>
    </w:lvl>
    <w:lvl w:ilvl="4" w:tplc="58AC48C0">
      <w:start w:val="1"/>
      <w:numFmt w:val="bullet"/>
      <w:lvlText w:val="o"/>
      <w:lvlJc w:val="left"/>
      <w:pPr>
        <w:ind w:left="3600" w:hanging="360"/>
      </w:pPr>
      <w:rPr>
        <w:rFonts w:ascii="Courier New" w:hAnsi="Courier New" w:hint="default"/>
      </w:rPr>
    </w:lvl>
    <w:lvl w:ilvl="5" w:tplc="4588FB8E">
      <w:start w:val="1"/>
      <w:numFmt w:val="bullet"/>
      <w:lvlText w:val=""/>
      <w:lvlJc w:val="left"/>
      <w:pPr>
        <w:ind w:left="4320" w:hanging="360"/>
      </w:pPr>
      <w:rPr>
        <w:rFonts w:ascii="Wingdings" w:hAnsi="Wingdings" w:hint="default"/>
      </w:rPr>
    </w:lvl>
    <w:lvl w:ilvl="6" w:tplc="1E227616">
      <w:start w:val="1"/>
      <w:numFmt w:val="bullet"/>
      <w:lvlText w:val=""/>
      <w:lvlJc w:val="left"/>
      <w:pPr>
        <w:ind w:left="5040" w:hanging="360"/>
      </w:pPr>
      <w:rPr>
        <w:rFonts w:ascii="Symbol" w:hAnsi="Symbol" w:hint="default"/>
      </w:rPr>
    </w:lvl>
    <w:lvl w:ilvl="7" w:tplc="BCD008FC">
      <w:start w:val="1"/>
      <w:numFmt w:val="bullet"/>
      <w:lvlText w:val="o"/>
      <w:lvlJc w:val="left"/>
      <w:pPr>
        <w:ind w:left="5760" w:hanging="360"/>
      </w:pPr>
      <w:rPr>
        <w:rFonts w:ascii="Courier New" w:hAnsi="Courier New" w:hint="default"/>
      </w:rPr>
    </w:lvl>
    <w:lvl w:ilvl="8" w:tplc="20A492D6">
      <w:start w:val="1"/>
      <w:numFmt w:val="bullet"/>
      <w:lvlText w:val=""/>
      <w:lvlJc w:val="left"/>
      <w:pPr>
        <w:ind w:left="6480" w:hanging="360"/>
      </w:pPr>
      <w:rPr>
        <w:rFonts w:ascii="Wingdings" w:hAnsi="Wingdings" w:hint="default"/>
      </w:rPr>
    </w:lvl>
  </w:abstractNum>
  <w:abstractNum w:abstractNumId="11" w15:restartNumberingAfterBreak="0">
    <w:nsid w:val="475C2FFB"/>
    <w:multiLevelType w:val="hybridMultilevel"/>
    <w:tmpl w:val="10562782"/>
    <w:lvl w:ilvl="0" w:tplc="F88487E6">
      <w:start w:val="1"/>
      <w:numFmt w:val="bullet"/>
      <w:lvlText w:val=""/>
      <w:lvlJc w:val="left"/>
      <w:pPr>
        <w:ind w:left="720" w:hanging="360"/>
      </w:pPr>
      <w:rPr>
        <w:rFonts w:ascii="Symbol" w:hAnsi="Symbol" w:hint="default"/>
      </w:rPr>
    </w:lvl>
    <w:lvl w:ilvl="1" w:tplc="E1C02AC4">
      <w:start w:val="1"/>
      <w:numFmt w:val="bullet"/>
      <w:lvlText w:val="o"/>
      <w:lvlJc w:val="left"/>
      <w:pPr>
        <w:ind w:left="1440" w:hanging="360"/>
      </w:pPr>
      <w:rPr>
        <w:rFonts w:ascii="Courier New" w:hAnsi="Courier New" w:hint="default"/>
      </w:rPr>
    </w:lvl>
    <w:lvl w:ilvl="2" w:tplc="15D27CFC">
      <w:start w:val="1"/>
      <w:numFmt w:val="bullet"/>
      <w:lvlText w:val=""/>
      <w:lvlJc w:val="left"/>
      <w:pPr>
        <w:ind w:left="2160" w:hanging="360"/>
      </w:pPr>
      <w:rPr>
        <w:rFonts w:ascii="Wingdings" w:hAnsi="Wingdings" w:hint="default"/>
      </w:rPr>
    </w:lvl>
    <w:lvl w:ilvl="3" w:tplc="5F9A3134">
      <w:start w:val="1"/>
      <w:numFmt w:val="bullet"/>
      <w:lvlText w:val=""/>
      <w:lvlJc w:val="left"/>
      <w:pPr>
        <w:ind w:left="2880" w:hanging="360"/>
      </w:pPr>
      <w:rPr>
        <w:rFonts w:ascii="Symbol" w:hAnsi="Symbol" w:hint="default"/>
      </w:rPr>
    </w:lvl>
    <w:lvl w:ilvl="4" w:tplc="1AAE083C">
      <w:start w:val="1"/>
      <w:numFmt w:val="bullet"/>
      <w:lvlText w:val="o"/>
      <w:lvlJc w:val="left"/>
      <w:pPr>
        <w:ind w:left="3600" w:hanging="360"/>
      </w:pPr>
      <w:rPr>
        <w:rFonts w:ascii="Courier New" w:hAnsi="Courier New" w:hint="default"/>
      </w:rPr>
    </w:lvl>
    <w:lvl w:ilvl="5" w:tplc="69902FEC">
      <w:start w:val="1"/>
      <w:numFmt w:val="bullet"/>
      <w:lvlText w:val=""/>
      <w:lvlJc w:val="left"/>
      <w:pPr>
        <w:ind w:left="4320" w:hanging="360"/>
      </w:pPr>
      <w:rPr>
        <w:rFonts w:ascii="Wingdings" w:hAnsi="Wingdings" w:hint="default"/>
      </w:rPr>
    </w:lvl>
    <w:lvl w:ilvl="6" w:tplc="BD40E4D6">
      <w:start w:val="1"/>
      <w:numFmt w:val="bullet"/>
      <w:lvlText w:val=""/>
      <w:lvlJc w:val="left"/>
      <w:pPr>
        <w:ind w:left="5040" w:hanging="360"/>
      </w:pPr>
      <w:rPr>
        <w:rFonts w:ascii="Symbol" w:hAnsi="Symbol" w:hint="default"/>
      </w:rPr>
    </w:lvl>
    <w:lvl w:ilvl="7" w:tplc="7B7E183A">
      <w:start w:val="1"/>
      <w:numFmt w:val="bullet"/>
      <w:lvlText w:val="o"/>
      <w:lvlJc w:val="left"/>
      <w:pPr>
        <w:ind w:left="5760" w:hanging="360"/>
      </w:pPr>
      <w:rPr>
        <w:rFonts w:ascii="Courier New" w:hAnsi="Courier New" w:hint="default"/>
      </w:rPr>
    </w:lvl>
    <w:lvl w:ilvl="8" w:tplc="AC6636B0">
      <w:start w:val="1"/>
      <w:numFmt w:val="bullet"/>
      <w:lvlText w:val=""/>
      <w:lvlJc w:val="left"/>
      <w:pPr>
        <w:ind w:left="6480" w:hanging="360"/>
      </w:pPr>
      <w:rPr>
        <w:rFonts w:ascii="Wingdings" w:hAnsi="Wingdings" w:hint="default"/>
      </w:rPr>
    </w:lvl>
  </w:abstractNum>
  <w:abstractNum w:abstractNumId="12" w15:restartNumberingAfterBreak="0">
    <w:nsid w:val="4F003CA9"/>
    <w:multiLevelType w:val="hybridMultilevel"/>
    <w:tmpl w:val="9DE85118"/>
    <w:lvl w:ilvl="0" w:tplc="8BC224B8">
      <w:start w:val="1"/>
      <w:numFmt w:val="bullet"/>
      <w:lvlText w:val=""/>
      <w:lvlJc w:val="left"/>
      <w:pPr>
        <w:ind w:left="720" w:hanging="360"/>
      </w:pPr>
      <w:rPr>
        <w:rFonts w:ascii="Symbol" w:hAnsi="Symbol" w:hint="default"/>
      </w:rPr>
    </w:lvl>
    <w:lvl w:ilvl="1" w:tplc="33E67EBA">
      <w:start w:val="1"/>
      <w:numFmt w:val="bullet"/>
      <w:lvlText w:val="o"/>
      <w:lvlJc w:val="left"/>
      <w:pPr>
        <w:ind w:left="1440" w:hanging="360"/>
      </w:pPr>
      <w:rPr>
        <w:rFonts w:ascii="Courier New" w:hAnsi="Courier New" w:hint="default"/>
      </w:rPr>
    </w:lvl>
    <w:lvl w:ilvl="2" w:tplc="44ACD432">
      <w:start w:val="1"/>
      <w:numFmt w:val="bullet"/>
      <w:lvlText w:val=""/>
      <w:lvlJc w:val="left"/>
      <w:pPr>
        <w:ind w:left="2160" w:hanging="360"/>
      </w:pPr>
      <w:rPr>
        <w:rFonts w:ascii="Wingdings" w:hAnsi="Wingdings" w:hint="default"/>
      </w:rPr>
    </w:lvl>
    <w:lvl w:ilvl="3" w:tplc="FFF852D6">
      <w:start w:val="1"/>
      <w:numFmt w:val="bullet"/>
      <w:lvlText w:val=""/>
      <w:lvlJc w:val="left"/>
      <w:pPr>
        <w:ind w:left="2880" w:hanging="360"/>
      </w:pPr>
      <w:rPr>
        <w:rFonts w:ascii="Symbol" w:hAnsi="Symbol" w:hint="default"/>
      </w:rPr>
    </w:lvl>
    <w:lvl w:ilvl="4" w:tplc="55D43546">
      <w:start w:val="1"/>
      <w:numFmt w:val="bullet"/>
      <w:lvlText w:val="o"/>
      <w:lvlJc w:val="left"/>
      <w:pPr>
        <w:ind w:left="3600" w:hanging="360"/>
      </w:pPr>
      <w:rPr>
        <w:rFonts w:ascii="Courier New" w:hAnsi="Courier New" w:hint="default"/>
      </w:rPr>
    </w:lvl>
    <w:lvl w:ilvl="5" w:tplc="40F0909C">
      <w:start w:val="1"/>
      <w:numFmt w:val="bullet"/>
      <w:lvlText w:val=""/>
      <w:lvlJc w:val="left"/>
      <w:pPr>
        <w:ind w:left="4320" w:hanging="360"/>
      </w:pPr>
      <w:rPr>
        <w:rFonts w:ascii="Wingdings" w:hAnsi="Wingdings" w:hint="default"/>
      </w:rPr>
    </w:lvl>
    <w:lvl w:ilvl="6" w:tplc="4D1ED156">
      <w:start w:val="1"/>
      <w:numFmt w:val="bullet"/>
      <w:lvlText w:val=""/>
      <w:lvlJc w:val="left"/>
      <w:pPr>
        <w:ind w:left="5040" w:hanging="360"/>
      </w:pPr>
      <w:rPr>
        <w:rFonts w:ascii="Symbol" w:hAnsi="Symbol" w:hint="default"/>
      </w:rPr>
    </w:lvl>
    <w:lvl w:ilvl="7" w:tplc="8ED629D6">
      <w:start w:val="1"/>
      <w:numFmt w:val="bullet"/>
      <w:lvlText w:val="o"/>
      <w:lvlJc w:val="left"/>
      <w:pPr>
        <w:ind w:left="5760" w:hanging="360"/>
      </w:pPr>
      <w:rPr>
        <w:rFonts w:ascii="Courier New" w:hAnsi="Courier New" w:hint="default"/>
      </w:rPr>
    </w:lvl>
    <w:lvl w:ilvl="8" w:tplc="4306D1D2">
      <w:start w:val="1"/>
      <w:numFmt w:val="bullet"/>
      <w:lvlText w:val=""/>
      <w:lvlJc w:val="left"/>
      <w:pPr>
        <w:ind w:left="6480" w:hanging="360"/>
      </w:pPr>
      <w:rPr>
        <w:rFonts w:ascii="Wingdings" w:hAnsi="Wingdings" w:hint="default"/>
      </w:rPr>
    </w:lvl>
  </w:abstractNum>
  <w:abstractNum w:abstractNumId="13" w15:restartNumberingAfterBreak="0">
    <w:nsid w:val="5032FB26"/>
    <w:multiLevelType w:val="hybridMultilevel"/>
    <w:tmpl w:val="94A2A0DE"/>
    <w:lvl w:ilvl="0" w:tplc="1702E92E">
      <w:start w:val="1"/>
      <w:numFmt w:val="bullet"/>
      <w:lvlText w:val="●"/>
      <w:lvlJc w:val="left"/>
      <w:pPr>
        <w:ind w:left="720" w:hanging="360"/>
      </w:pPr>
      <w:rPr>
        <w:rFonts w:ascii="Symbol" w:hAnsi="Symbol" w:hint="default"/>
      </w:rPr>
    </w:lvl>
    <w:lvl w:ilvl="1" w:tplc="51B862C6">
      <w:start w:val="1"/>
      <w:numFmt w:val="bullet"/>
      <w:lvlText w:val="o"/>
      <w:lvlJc w:val="left"/>
      <w:pPr>
        <w:ind w:left="1440" w:hanging="360"/>
      </w:pPr>
      <w:rPr>
        <w:rFonts w:ascii="Courier New" w:hAnsi="Courier New" w:hint="default"/>
      </w:rPr>
    </w:lvl>
    <w:lvl w:ilvl="2" w:tplc="D57CA612">
      <w:start w:val="1"/>
      <w:numFmt w:val="bullet"/>
      <w:lvlText w:val=""/>
      <w:lvlJc w:val="left"/>
      <w:pPr>
        <w:ind w:left="2160" w:hanging="360"/>
      </w:pPr>
      <w:rPr>
        <w:rFonts w:ascii="Wingdings" w:hAnsi="Wingdings" w:hint="default"/>
      </w:rPr>
    </w:lvl>
    <w:lvl w:ilvl="3" w:tplc="B148BE1A">
      <w:start w:val="1"/>
      <w:numFmt w:val="bullet"/>
      <w:lvlText w:val=""/>
      <w:lvlJc w:val="left"/>
      <w:pPr>
        <w:ind w:left="2880" w:hanging="360"/>
      </w:pPr>
      <w:rPr>
        <w:rFonts w:ascii="Symbol" w:hAnsi="Symbol" w:hint="default"/>
      </w:rPr>
    </w:lvl>
    <w:lvl w:ilvl="4" w:tplc="9686120C">
      <w:start w:val="1"/>
      <w:numFmt w:val="bullet"/>
      <w:lvlText w:val="o"/>
      <w:lvlJc w:val="left"/>
      <w:pPr>
        <w:ind w:left="3600" w:hanging="360"/>
      </w:pPr>
      <w:rPr>
        <w:rFonts w:ascii="Courier New" w:hAnsi="Courier New" w:hint="default"/>
      </w:rPr>
    </w:lvl>
    <w:lvl w:ilvl="5" w:tplc="B3B8372C">
      <w:start w:val="1"/>
      <w:numFmt w:val="bullet"/>
      <w:lvlText w:val=""/>
      <w:lvlJc w:val="left"/>
      <w:pPr>
        <w:ind w:left="4320" w:hanging="360"/>
      </w:pPr>
      <w:rPr>
        <w:rFonts w:ascii="Wingdings" w:hAnsi="Wingdings" w:hint="default"/>
      </w:rPr>
    </w:lvl>
    <w:lvl w:ilvl="6" w:tplc="05A26E88">
      <w:start w:val="1"/>
      <w:numFmt w:val="bullet"/>
      <w:lvlText w:val=""/>
      <w:lvlJc w:val="left"/>
      <w:pPr>
        <w:ind w:left="5040" w:hanging="360"/>
      </w:pPr>
      <w:rPr>
        <w:rFonts w:ascii="Symbol" w:hAnsi="Symbol" w:hint="default"/>
      </w:rPr>
    </w:lvl>
    <w:lvl w:ilvl="7" w:tplc="CA34CA52">
      <w:start w:val="1"/>
      <w:numFmt w:val="bullet"/>
      <w:lvlText w:val="o"/>
      <w:lvlJc w:val="left"/>
      <w:pPr>
        <w:ind w:left="5760" w:hanging="360"/>
      </w:pPr>
      <w:rPr>
        <w:rFonts w:ascii="Courier New" w:hAnsi="Courier New" w:hint="default"/>
      </w:rPr>
    </w:lvl>
    <w:lvl w:ilvl="8" w:tplc="41744E1A">
      <w:start w:val="1"/>
      <w:numFmt w:val="bullet"/>
      <w:lvlText w:val=""/>
      <w:lvlJc w:val="left"/>
      <w:pPr>
        <w:ind w:left="6480" w:hanging="360"/>
      </w:pPr>
      <w:rPr>
        <w:rFonts w:ascii="Wingdings" w:hAnsi="Wingdings" w:hint="default"/>
      </w:rPr>
    </w:lvl>
  </w:abstractNum>
  <w:abstractNum w:abstractNumId="14" w15:restartNumberingAfterBreak="0">
    <w:nsid w:val="50CEA49A"/>
    <w:multiLevelType w:val="multilevel"/>
    <w:tmpl w:val="705CEF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C4B28C1"/>
    <w:multiLevelType w:val="hybridMultilevel"/>
    <w:tmpl w:val="0AC81A88"/>
    <w:lvl w:ilvl="0" w:tplc="12CA452E">
      <w:start w:val="1"/>
      <w:numFmt w:val="bullet"/>
      <w:lvlText w:val=""/>
      <w:lvlJc w:val="left"/>
      <w:pPr>
        <w:ind w:left="720" w:hanging="360"/>
      </w:pPr>
      <w:rPr>
        <w:rFonts w:ascii="Symbol" w:hAnsi="Symbol" w:hint="default"/>
      </w:rPr>
    </w:lvl>
    <w:lvl w:ilvl="1" w:tplc="448E6C7C">
      <w:start w:val="1"/>
      <w:numFmt w:val="bullet"/>
      <w:lvlText w:val="o"/>
      <w:lvlJc w:val="left"/>
      <w:pPr>
        <w:ind w:left="1440" w:hanging="360"/>
      </w:pPr>
      <w:rPr>
        <w:rFonts w:ascii="Courier New" w:hAnsi="Courier New" w:hint="default"/>
      </w:rPr>
    </w:lvl>
    <w:lvl w:ilvl="2" w:tplc="28C0AB72">
      <w:start w:val="1"/>
      <w:numFmt w:val="bullet"/>
      <w:lvlText w:val=""/>
      <w:lvlJc w:val="left"/>
      <w:pPr>
        <w:ind w:left="2160" w:hanging="360"/>
      </w:pPr>
      <w:rPr>
        <w:rFonts w:ascii="Wingdings" w:hAnsi="Wingdings" w:hint="default"/>
      </w:rPr>
    </w:lvl>
    <w:lvl w:ilvl="3" w:tplc="D168153E">
      <w:start w:val="1"/>
      <w:numFmt w:val="bullet"/>
      <w:lvlText w:val=""/>
      <w:lvlJc w:val="left"/>
      <w:pPr>
        <w:ind w:left="2880" w:hanging="360"/>
      </w:pPr>
      <w:rPr>
        <w:rFonts w:ascii="Symbol" w:hAnsi="Symbol" w:hint="default"/>
      </w:rPr>
    </w:lvl>
    <w:lvl w:ilvl="4" w:tplc="7250F018">
      <w:start w:val="1"/>
      <w:numFmt w:val="bullet"/>
      <w:lvlText w:val="o"/>
      <w:lvlJc w:val="left"/>
      <w:pPr>
        <w:ind w:left="3600" w:hanging="360"/>
      </w:pPr>
      <w:rPr>
        <w:rFonts w:ascii="Courier New" w:hAnsi="Courier New" w:hint="default"/>
      </w:rPr>
    </w:lvl>
    <w:lvl w:ilvl="5" w:tplc="61FC6BB8">
      <w:start w:val="1"/>
      <w:numFmt w:val="bullet"/>
      <w:lvlText w:val=""/>
      <w:lvlJc w:val="left"/>
      <w:pPr>
        <w:ind w:left="4320" w:hanging="360"/>
      </w:pPr>
      <w:rPr>
        <w:rFonts w:ascii="Wingdings" w:hAnsi="Wingdings" w:hint="default"/>
      </w:rPr>
    </w:lvl>
    <w:lvl w:ilvl="6" w:tplc="E05CB852">
      <w:start w:val="1"/>
      <w:numFmt w:val="bullet"/>
      <w:lvlText w:val=""/>
      <w:lvlJc w:val="left"/>
      <w:pPr>
        <w:ind w:left="5040" w:hanging="360"/>
      </w:pPr>
      <w:rPr>
        <w:rFonts w:ascii="Symbol" w:hAnsi="Symbol" w:hint="default"/>
      </w:rPr>
    </w:lvl>
    <w:lvl w:ilvl="7" w:tplc="BDC6D0B8">
      <w:start w:val="1"/>
      <w:numFmt w:val="bullet"/>
      <w:lvlText w:val="o"/>
      <w:lvlJc w:val="left"/>
      <w:pPr>
        <w:ind w:left="5760" w:hanging="360"/>
      </w:pPr>
      <w:rPr>
        <w:rFonts w:ascii="Courier New" w:hAnsi="Courier New" w:hint="default"/>
      </w:rPr>
    </w:lvl>
    <w:lvl w:ilvl="8" w:tplc="AC943E16">
      <w:start w:val="1"/>
      <w:numFmt w:val="bullet"/>
      <w:lvlText w:val=""/>
      <w:lvlJc w:val="left"/>
      <w:pPr>
        <w:ind w:left="6480" w:hanging="360"/>
      </w:pPr>
      <w:rPr>
        <w:rFonts w:ascii="Wingdings" w:hAnsi="Wingdings" w:hint="default"/>
      </w:rPr>
    </w:lvl>
  </w:abstractNum>
  <w:abstractNum w:abstractNumId="16" w15:restartNumberingAfterBreak="0">
    <w:nsid w:val="5D8CEB9F"/>
    <w:multiLevelType w:val="hybridMultilevel"/>
    <w:tmpl w:val="A7201836"/>
    <w:lvl w:ilvl="0" w:tplc="0DC8F62A">
      <w:start w:val="1"/>
      <w:numFmt w:val="bullet"/>
      <w:lvlText w:val=""/>
      <w:lvlJc w:val="left"/>
      <w:pPr>
        <w:ind w:left="720" w:hanging="360"/>
      </w:pPr>
      <w:rPr>
        <w:rFonts w:ascii="Symbol" w:hAnsi="Symbol" w:hint="default"/>
      </w:rPr>
    </w:lvl>
    <w:lvl w:ilvl="1" w:tplc="60BEC61E">
      <w:start w:val="1"/>
      <w:numFmt w:val="bullet"/>
      <w:lvlText w:val="o"/>
      <w:lvlJc w:val="left"/>
      <w:pPr>
        <w:ind w:left="1440" w:hanging="360"/>
      </w:pPr>
      <w:rPr>
        <w:rFonts w:ascii="Courier New" w:hAnsi="Courier New" w:hint="default"/>
      </w:rPr>
    </w:lvl>
    <w:lvl w:ilvl="2" w:tplc="1952A1F0">
      <w:start w:val="1"/>
      <w:numFmt w:val="bullet"/>
      <w:lvlText w:val=""/>
      <w:lvlJc w:val="left"/>
      <w:pPr>
        <w:ind w:left="2160" w:hanging="360"/>
      </w:pPr>
      <w:rPr>
        <w:rFonts w:ascii="Wingdings" w:hAnsi="Wingdings" w:hint="default"/>
      </w:rPr>
    </w:lvl>
    <w:lvl w:ilvl="3" w:tplc="09D20A88">
      <w:start w:val="1"/>
      <w:numFmt w:val="bullet"/>
      <w:lvlText w:val=""/>
      <w:lvlJc w:val="left"/>
      <w:pPr>
        <w:ind w:left="2880" w:hanging="360"/>
      </w:pPr>
      <w:rPr>
        <w:rFonts w:ascii="Symbol" w:hAnsi="Symbol" w:hint="default"/>
      </w:rPr>
    </w:lvl>
    <w:lvl w:ilvl="4" w:tplc="5F98E87C">
      <w:start w:val="1"/>
      <w:numFmt w:val="bullet"/>
      <w:lvlText w:val="o"/>
      <w:lvlJc w:val="left"/>
      <w:pPr>
        <w:ind w:left="3600" w:hanging="360"/>
      </w:pPr>
      <w:rPr>
        <w:rFonts w:ascii="Courier New" w:hAnsi="Courier New" w:hint="default"/>
      </w:rPr>
    </w:lvl>
    <w:lvl w:ilvl="5" w:tplc="93103F80">
      <w:start w:val="1"/>
      <w:numFmt w:val="bullet"/>
      <w:lvlText w:val=""/>
      <w:lvlJc w:val="left"/>
      <w:pPr>
        <w:ind w:left="4320" w:hanging="360"/>
      </w:pPr>
      <w:rPr>
        <w:rFonts w:ascii="Wingdings" w:hAnsi="Wingdings" w:hint="default"/>
      </w:rPr>
    </w:lvl>
    <w:lvl w:ilvl="6" w:tplc="8CEA931A">
      <w:start w:val="1"/>
      <w:numFmt w:val="bullet"/>
      <w:lvlText w:val=""/>
      <w:lvlJc w:val="left"/>
      <w:pPr>
        <w:ind w:left="5040" w:hanging="360"/>
      </w:pPr>
      <w:rPr>
        <w:rFonts w:ascii="Symbol" w:hAnsi="Symbol" w:hint="default"/>
      </w:rPr>
    </w:lvl>
    <w:lvl w:ilvl="7" w:tplc="DDAE126A">
      <w:start w:val="1"/>
      <w:numFmt w:val="bullet"/>
      <w:lvlText w:val="o"/>
      <w:lvlJc w:val="left"/>
      <w:pPr>
        <w:ind w:left="5760" w:hanging="360"/>
      </w:pPr>
      <w:rPr>
        <w:rFonts w:ascii="Courier New" w:hAnsi="Courier New" w:hint="default"/>
      </w:rPr>
    </w:lvl>
    <w:lvl w:ilvl="8" w:tplc="E56846EE">
      <w:start w:val="1"/>
      <w:numFmt w:val="bullet"/>
      <w:lvlText w:val=""/>
      <w:lvlJc w:val="left"/>
      <w:pPr>
        <w:ind w:left="6480" w:hanging="360"/>
      </w:pPr>
      <w:rPr>
        <w:rFonts w:ascii="Wingdings" w:hAnsi="Wingdings" w:hint="default"/>
      </w:rPr>
    </w:lvl>
  </w:abstractNum>
  <w:abstractNum w:abstractNumId="17" w15:restartNumberingAfterBreak="0">
    <w:nsid w:val="6305D40E"/>
    <w:multiLevelType w:val="hybridMultilevel"/>
    <w:tmpl w:val="F9165560"/>
    <w:lvl w:ilvl="0" w:tplc="AAF054FA">
      <w:start w:val="1"/>
      <w:numFmt w:val="bullet"/>
      <w:lvlText w:val="●"/>
      <w:lvlJc w:val="left"/>
      <w:pPr>
        <w:ind w:left="720" w:hanging="360"/>
      </w:pPr>
      <w:rPr>
        <w:rFonts w:ascii="Symbol" w:hAnsi="Symbol" w:hint="default"/>
      </w:rPr>
    </w:lvl>
    <w:lvl w:ilvl="1" w:tplc="58400294">
      <w:start w:val="1"/>
      <w:numFmt w:val="bullet"/>
      <w:lvlText w:val="o"/>
      <w:lvlJc w:val="left"/>
      <w:pPr>
        <w:ind w:left="1440" w:hanging="360"/>
      </w:pPr>
      <w:rPr>
        <w:rFonts w:ascii="Courier New" w:hAnsi="Courier New" w:hint="default"/>
      </w:rPr>
    </w:lvl>
    <w:lvl w:ilvl="2" w:tplc="36CEF06C">
      <w:start w:val="1"/>
      <w:numFmt w:val="bullet"/>
      <w:lvlText w:val=""/>
      <w:lvlJc w:val="left"/>
      <w:pPr>
        <w:ind w:left="2160" w:hanging="360"/>
      </w:pPr>
      <w:rPr>
        <w:rFonts w:ascii="Wingdings" w:hAnsi="Wingdings" w:hint="default"/>
      </w:rPr>
    </w:lvl>
    <w:lvl w:ilvl="3" w:tplc="FD1846EE">
      <w:start w:val="1"/>
      <w:numFmt w:val="bullet"/>
      <w:lvlText w:val=""/>
      <w:lvlJc w:val="left"/>
      <w:pPr>
        <w:ind w:left="2880" w:hanging="360"/>
      </w:pPr>
      <w:rPr>
        <w:rFonts w:ascii="Symbol" w:hAnsi="Symbol" w:hint="default"/>
      </w:rPr>
    </w:lvl>
    <w:lvl w:ilvl="4" w:tplc="9C3E92EA">
      <w:start w:val="1"/>
      <w:numFmt w:val="bullet"/>
      <w:lvlText w:val="o"/>
      <w:lvlJc w:val="left"/>
      <w:pPr>
        <w:ind w:left="3600" w:hanging="360"/>
      </w:pPr>
      <w:rPr>
        <w:rFonts w:ascii="Courier New" w:hAnsi="Courier New" w:hint="default"/>
      </w:rPr>
    </w:lvl>
    <w:lvl w:ilvl="5" w:tplc="C3701F62">
      <w:start w:val="1"/>
      <w:numFmt w:val="bullet"/>
      <w:lvlText w:val=""/>
      <w:lvlJc w:val="left"/>
      <w:pPr>
        <w:ind w:left="4320" w:hanging="360"/>
      </w:pPr>
      <w:rPr>
        <w:rFonts w:ascii="Wingdings" w:hAnsi="Wingdings" w:hint="default"/>
      </w:rPr>
    </w:lvl>
    <w:lvl w:ilvl="6" w:tplc="3B42AB2E">
      <w:start w:val="1"/>
      <w:numFmt w:val="bullet"/>
      <w:lvlText w:val=""/>
      <w:lvlJc w:val="left"/>
      <w:pPr>
        <w:ind w:left="5040" w:hanging="360"/>
      </w:pPr>
      <w:rPr>
        <w:rFonts w:ascii="Symbol" w:hAnsi="Symbol" w:hint="default"/>
      </w:rPr>
    </w:lvl>
    <w:lvl w:ilvl="7" w:tplc="7B8AE2FE">
      <w:start w:val="1"/>
      <w:numFmt w:val="bullet"/>
      <w:lvlText w:val="o"/>
      <w:lvlJc w:val="left"/>
      <w:pPr>
        <w:ind w:left="5760" w:hanging="360"/>
      </w:pPr>
      <w:rPr>
        <w:rFonts w:ascii="Courier New" w:hAnsi="Courier New" w:hint="default"/>
      </w:rPr>
    </w:lvl>
    <w:lvl w:ilvl="8" w:tplc="AEA0A2EE">
      <w:start w:val="1"/>
      <w:numFmt w:val="bullet"/>
      <w:lvlText w:val=""/>
      <w:lvlJc w:val="left"/>
      <w:pPr>
        <w:ind w:left="6480" w:hanging="360"/>
      </w:pPr>
      <w:rPr>
        <w:rFonts w:ascii="Wingdings" w:hAnsi="Wingdings" w:hint="default"/>
      </w:rPr>
    </w:lvl>
  </w:abstractNum>
  <w:abstractNum w:abstractNumId="18" w15:restartNumberingAfterBreak="0">
    <w:nsid w:val="6C666685"/>
    <w:multiLevelType w:val="hybridMultilevel"/>
    <w:tmpl w:val="56CC5D0E"/>
    <w:lvl w:ilvl="0" w:tplc="4650DD7A">
      <w:start w:val="1"/>
      <w:numFmt w:val="bullet"/>
      <w:lvlText w:val=""/>
      <w:lvlJc w:val="left"/>
      <w:pPr>
        <w:ind w:left="720" w:hanging="360"/>
      </w:pPr>
      <w:rPr>
        <w:rFonts w:ascii="Symbol" w:hAnsi="Symbol" w:hint="default"/>
      </w:rPr>
    </w:lvl>
    <w:lvl w:ilvl="1" w:tplc="38F0ABAC">
      <w:start w:val="1"/>
      <w:numFmt w:val="bullet"/>
      <w:lvlText w:val="o"/>
      <w:lvlJc w:val="left"/>
      <w:pPr>
        <w:ind w:left="1440" w:hanging="360"/>
      </w:pPr>
      <w:rPr>
        <w:rFonts w:ascii="Courier New" w:hAnsi="Courier New" w:hint="default"/>
      </w:rPr>
    </w:lvl>
    <w:lvl w:ilvl="2" w:tplc="7E5E77F2">
      <w:start w:val="1"/>
      <w:numFmt w:val="bullet"/>
      <w:lvlText w:val=""/>
      <w:lvlJc w:val="left"/>
      <w:pPr>
        <w:ind w:left="2160" w:hanging="360"/>
      </w:pPr>
      <w:rPr>
        <w:rFonts w:ascii="Wingdings" w:hAnsi="Wingdings" w:hint="default"/>
      </w:rPr>
    </w:lvl>
    <w:lvl w:ilvl="3" w:tplc="12408FB0">
      <w:start w:val="1"/>
      <w:numFmt w:val="bullet"/>
      <w:lvlText w:val=""/>
      <w:lvlJc w:val="left"/>
      <w:pPr>
        <w:ind w:left="2880" w:hanging="360"/>
      </w:pPr>
      <w:rPr>
        <w:rFonts w:ascii="Symbol" w:hAnsi="Symbol" w:hint="default"/>
      </w:rPr>
    </w:lvl>
    <w:lvl w:ilvl="4" w:tplc="F7B0AEBE">
      <w:start w:val="1"/>
      <w:numFmt w:val="bullet"/>
      <w:lvlText w:val="o"/>
      <w:lvlJc w:val="left"/>
      <w:pPr>
        <w:ind w:left="3600" w:hanging="360"/>
      </w:pPr>
      <w:rPr>
        <w:rFonts w:ascii="Courier New" w:hAnsi="Courier New" w:hint="default"/>
      </w:rPr>
    </w:lvl>
    <w:lvl w:ilvl="5" w:tplc="3A24028C">
      <w:start w:val="1"/>
      <w:numFmt w:val="bullet"/>
      <w:lvlText w:val=""/>
      <w:lvlJc w:val="left"/>
      <w:pPr>
        <w:ind w:left="4320" w:hanging="360"/>
      </w:pPr>
      <w:rPr>
        <w:rFonts w:ascii="Wingdings" w:hAnsi="Wingdings" w:hint="default"/>
      </w:rPr>
    </w:lvl>
    <w:lvl w:ilvl="6" w:tplc="30E294A0">
      <w:start w:val="1"/>
      <w:numFmt w:val="bullet"/>
      <w:lvlText w:val=""/>
      <w:lvlJc w:val="left"/>
      <w:pPr>
        <w:ind w:left="5040" w:hanging="360"/>
      </w:pPr>
      <w:rPr>
        <w:rFonts w:ascii="Symbol" w:hAnsi="Symbol" w:hint="default"/>
      </w:rPr>
    </w:lvl>
    <w:lvl w:ilvl="7" w:tplc="344E1AEC">
      <w:start w:val="1"/>
      <w:numFmt w:val="bullet"/>
      <w:lvlText w:val="o"/>
      <w:lvlJc w:val="left"/>
      <w:pPr>
        <w:ind w:left="5760" w:hanging="360"/>
      </w:pPr>
      <w:rPr>
        <w:rFonts w:ascii="Courier New" w:hAnsi="Courier New" w:hint="default"/>
      </w:rPr>
    </w:lvl>
    <w:lvl w:ilvl="8" w:tplc="2C4CC904">
      <w:start w:val="1"/>
      <w:numFmt w:val="bullet"/>
      <w:lvlText w:val=""/>
      <w:lvlJc w:val="left"/>
      <w:pPr>
        <w:ind w:left="6480" w:hanging="360"/>
      </w:pPr>
      <w:rPr>
        <w:rFonts w:ascii="Wingdings" w:hAnsi="Wingdings" w:hint="default"/>
      </w:rPr>
    </w:lvl>
  </w:abstractNum>
  <w:abstractNum w:abstractNumId="19" w15:restartNumberingAfterBreak="0">
    <w:nsid w:val="70257181"/>
    <w:multiLevelType w:val="multilevel"/>
    <w:tmpl w:val="96DC24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080CB82"/>
    <w:multiLevelType w:val="hybridMultilevel"/>
    <w:tmpl w:val="05ACF9E4"/>
    <w:lvl w:ilvl="0" w:tplc="69AC4B62">
      <w:start w:val="1"/>
      <w:numFmt w:val="bullet"/>
      <w:lvlText w:val=""/>
      <w:lvlJc w:val="left"/>
      <w:pPr>
        <w:ind w:left="720" w:hanging="360"/>
      </w:pPr>
      <w:rPr>
        <w:rFonts w:ascii="Symbol" w:hAnsi="Symbol" w:hint="default"/>
      </w:rPr>
    </w:lvl>
    <w:lvl w:ilvl="1" w:tplc="6EBC8826">
      <w:start w:val="1"/>
      <w:numFmt w:val="bullet"/>
      <w:lvlText w:val="o"/>
      <w:lvlJc w:val="left"/>
      <w:pPr>
        <w:ind w:left="1440" w:hanging="360"/>
      </w:pPr>
      <w:rPr>
        <w:rFonts w:ascii="Courier New" w:hAnsi="Courier New" w:hint="default"/>
      </w:rPr>
    </w:lvl>
    <w:lvl w:ilvl="2" w:tplc="B9EC37A8">
      <w:start w:val="1"/>
      <w:numFmt w:val="bullet"/>
      <w:lvlText w:val=""/>
      <w:lvlJc w:val="left"/>
      <w:pPr>
        <w:ind w:left="2160" w:hanging="360"/>
      </w:pPr>
      <w:rPr>
        <w:rFonts w:ascii="Wingdings" w:hAnsi="Wingdings" w:hint="default"/>
      </w:rPr>
    </w:lvl>
    <w:lvl w:ilvl="3" w:tplc="839A1C9C">
      <w:start w:val="1"/>
      <w:numFmt w:val="bullet"/>
      <w:lvlText w:val=""/>
      <w:lvlJc w:val="left"/>
      <w:pPr>
        <w:ind w:left="2880" w:hanging="360"/>
      </w:pPr>
      <w:rPr>
        <w:rFonts w:ascii="Symbol" w:hAnsi="Symbol" w:hint="default"/>
      </w:rPr>
    </w:lvl>
    <w:lvl w:ilvl="4" w:tplc="D7D221B2">
      <w:start w:val="1"/>
      <w:numFmt w:val="bullet"/>
      <w:lvlText w:val="o"/>
      <w:lvlJc w:val="left"/>
      <w:pPr>
        <w:ind w:left="3600" w:hanging="360"/>
      </w:pPr>
      <w:rPr>
        <w:rFonts w:ascii="Courier New" w:hAnsi="Courier New" w:hint="default"/>
      </w:rPr>
    </w:lvl>
    <w:lvl w:ilvl="5" w:tplc="FFFAD35C">
      <w:start w:val="1"/>
      <w:numFmt w:val="bullet"/>
      <w:lvlText w:val=""/>
      <w:lvlJc w:val="left"/>
      <w:pPr>
        <w:ind w:left="4320" w:hanging="360"/>
      </w:pPr>
      <w:rPr>
        <w:rFonts w:ascii="Wingdings" w:hAnsi="Wingdings" w:hint="default"/>
      </w:rPr>
    </w:lvl>
    <w:lvl w:ilvl="6" w:tplc="235E2C3C">
      <w:start w:val="1"/>
      <w:numFmt w:val="bullet"/>
      <w:lvlText w:val=""/>
      <w:lvlJc w:val="left"/>
      <w:pPr>
        <w:ind w:left="5040" w:hanging="360"/>
      </w:pPr>
      <w:rPr>
        <w:rFonts w:ascii="Symbol" w:hAnsi="Symbol" w:hint="default"/>
      </w:rPr>
    </w:lvl>
    <w:lvl w:ilvl="7" w:tplc="45D0CCAE">
      <w:start w:val="1"/>
      <w:numFmt w:val="bullet"/>
      <w:lvlText w:val="o"/>
      <w:lvlJc w:val="left"/>
      <w:pPr>
        <w:ind w:left="5760" w:hanging="360"/>
      </w:pPr>
      <w:rPr>
        <w:rFonts w:ascii="Courier New" w:hAnsi="Courier New" w:hint="default"/>
      </w:rPr>
    </w:lvl>
    <w:lvl w:ilvl="8" w:tplc="ABF6A40A">
      <w:start w:val="1"/>
      <w:numFmt w:val="bullet"/>
      <w:lvlText w:val=""/>
      <w:lvlJc w:val="left"/>
      <w:pPr>
        <w:ind w:left="6480" w:hanging="360"/>
      </w:pPr>
      <w:rPr>
        <w:rFonts w:ascii="Wingdings" w:hAnsi="Wingdings" w:hint="default"/>
      </w:rPr>
    </w:lvl>
  </w:abstractNum>
  <w:abstractNum w:abstractNumId="21" w15:restartNumberingAfterBreak="0">
    <w:nsid w:val="7372AB7B"/>
    <w:multiLevelType w:val="hybridMultilevel"/>
    <w:tmpl w:val="83B64BB2"/>
    <w:lvl w:ilvl="0" w:tplc="82F8E388">
      <w:start w:val="1"/>
      <w:numFmt w:val="bullet"/>
      <w:lvlText w:val=""/>
      <w:lvlJc w:val="left"/>
      <w:pPr>
        <w:ind w:left="720" w:hanging="360"/>
      </w:pPr>
      <w:rPr>
        <w:rFonts w:ascii="Symbol" w:hAnsi="Symbol" w:hint="default"/>
      </w:rPr>
    </w:lvl>
    <w:lvl w:ilvl="1" w:tplc="81EA5208">
      <w:start w:val="1"/>
      <w:numFmt w:val="bullet"/>
      <w:lvlText w:val="o"/>
      <w:lvlJc w:val="left"/>
      <w:pPr>
        <w:ind w:left="1440" w:hanging="360"/>
      </w:pPr>
      <w:rPr>
        <w:rFonts w:ascii="Courier New" w:hAnsi="Courier New" w:hint="default"/>
      </w:rPr>
    </w:lvl>
    <w:lvl w:ilvl="2" w:tplc="96EEA88E">
      <w:start w:val="1"/>
      <w:numFmt w:val="bullet"/>
      <w:lvlText w:val=""/>
      <w:lvlJc w:val="left"/>
      <w:pPr>
        <w:ind w:left="2160" w:hanging="360"/>
      </w:pPr>
      <w:rPr>
        <w:rFonts w:ascii="Wingdings" w:hAnsi="Wingdings" w:hint="default"/>
      </w:rPr>
    </w:lvl>
    <w:lvl w:ilvl="3" w:tplc="D98C7EC2">
      <w:start w:val="1"/>
      <w:numFmt w:val="bullet"/>
      <w:lvlText w:val=""/>
      <w:lvlJc w:val="left"/>
      <w:pPr>
        <w:ind w:left="2880" w:hanging="360"/>
      </w:pPr>
      <w:rPr>
        <w:rFonts w:ascii="Symbol" w:hAnsi="Symbol" w:hint="default"/>
      </w:rPr>
    </w:lvl>
    <w:lvl w:ilvl="4" w:tplc="7CCAEAC4">
      <w:start w:val="1"/>
      <w:numFmt w:val="bullet"/>
      <w:lvlText w:val="o"/>
      <w:lvlJc w:val="left"/>
      <w:pPr>
        <w:ind w:left="3600" w:hanging="360"/>
      </w:pPr>
      <w:rPr>
        <w:rFonts w:ascii="Courier New" w:hAnsi="Courier New" w:hint="default"/>
      </w:rPr>
    </w:lvl>
    <w:lvl w:ilvl="5" w:tplc="1E98F62E">
      <w:start w:val="1"/>
      <w:numFmt w:val="bullet"/>
      <w:lvlText w:val=""/>
      <w:lvlJc w:val="left"/>
      <w:pPr>
        <w:ind w:left="4320" w:hanging="360"/>
      </w:pPr>
      <w:rPr>
        <w:rFonts w:ascii="Wingdings" w:hAnsi="Wingdings" w:hint="default"/>
      </w:rPr>
    </w:lvl>
    <w:lvl w:ilvl="6" w:tplc="08E20184">
      <w:start w:val="1"/>
      <w:numFmt w:val="bullet"/>
      <w:lvlText w:val=""/>
      <w:lvlJc w:val="left"/>
      <w:pPr>
        <w:ind w:left="5040" w:hanging="360"/>
      </w:pPr>
      <w:rPr>
        <w:rFonts w:ascii="Symbol" w:hAnsi="Symbol" w:hint="default"/>
      </w:rPr>
    </w:lvl>
    <w:lvl w:ilvl="7" w:tplc="71322F94">
      <w:start w:val="1"/>
      <w:numFmt w:val="bullet"/>
      <w:lvlText w:val="o"/>
      <w:lvlJc w:val="left"/>
      <w:pPr>
        <w:ind w:left="5760" w:hanging="360"/>
      </w:pPr>
      <w:rPr>
        <w:rFonts w:ascii="Courier New" w:hAnsi="Courier New" w:hint="default"/>
      </w:rPr>
    </w:lvl>
    <w:lvl w:ilvl="8" w:tplc="8CC60014">
      <w:start w:val="1"/>
      <w:numFmt w:val="bullet"/>
      <w:lvlText w:val=""/>
      <w:lvlJc w:val="left"/>
      <w:pPr>
        <w:ind w:left="6480" w:hanging="360"/>
      </w:pPr>
      <w:rPr>
        <w:rFonts w:ascii="Wingdings" w:hAnsi="Wingdings" w:hint="default"/>
      </w:rPr>
    </w:lvl>
  </w:abstractNum>
  <w:abstractNum w:abstractNumId="22" w15:restartNumberingAfterBreak="0">
    <w:nsid w:val="7BF3DDBF"/>
    <w:multiLevelType w:val="hybridMultilevel"/>
    <w:tmpl w:val="936880E0"/>
    <w:lvl w:ilvl="0" w:tplc="81EA4F38">
      <w:start w:val="1"/>
      <w:numFmt w:val="bullet"/>
      <w:lvlText w:val="●"/>
      <w:lvlJc w:val="left"/>
      <w:pPr>
        <w:ind w:left="720" w:hanging="360"/>
      </w:pPr>
      <w:rPr>
        <w:rFonts w:ascii="Symbol" w:hAnsi="Symbol" w:hint="default"/>
      </w:rPr>
    </w:lvl>
    <w:lvl w:ilvl="1" w:tplc="A95A6E58">
      <w:start w:val="1"/>
      <w:numFmt w:val="bullet"/>
      <w:lvlText w:val="o"/>
      <w:lvlJc w:val="left"/>
      <w:pPr>
        <w:ind w:left="1440" w:hanging="360"/>
      </w:pPr>
      <w:rPr>
        <w:rFonts w:ascii="Courier New" w:hAnsi="Courier New" w:hint="default"/>
      </w:rPr>
    </w:lvl>
    <w:lvl w:ilvl="2" w:tplc="99FA901A">
      <w:start w:val="1"/>
      <w:numFmt w:val="bullet"/>
      <w:lvlText w:val=""/>
      <w:lvlJc w:val="left"/>
      <w:pPr>
        <w:ind w:left="2160" w:hanging="360"/>
      </w:pPr>
      <w:rPr>
        <w:rFonts w:ascii="Wingdings" w:hAnsi="Wingdings" w:hint="default"/>
      </w:rPr>
    </w:lvl>
    <w:lvl w:ilvl="3" w:tplc="9710AE70">
      <w:start w:val="1"/>
      <w:numFmt w:val="bullet"/>
      <w:lvlText w:val=""/>
      <w:lvlJc w:val="left"/>
      <w:pPr>
        <w:ind w:left="2880" w:hanging="360"/>
      </w:pPr>
      <w:rPr>
        <w:rFonts w:ascii="Symbol" w:hAnsi="Symbol" w:hint="default"/>
      </w:rPr>
    </w:lvl>
    <w:lvl w:ilvl="4" w:tplc="73AE7D94">
      <w:start w:val="1"/>
      <w:numFmt w:val="bullet"/>
      <w:lvlText w:val="o"/>
      <w:lvlJc w:val="left"/>
      <w:pPr>
        <w:ind w:left="3600" w:hanging="360"/>
      </w:pPr>
      <w:rPr>
        <w:rFonts w:ascii="Courier New" w:hAnsi="Courier New" w:hint="default"/>
      </w:rPr>
    </w:lvl>
    <w:lvl w:ilvl="5" w:tplc="11568D76">
      <w:start w:val="1"/>
      <w:numFmt w:val="bullet"/>
      <w:lvlText w:val=""/>
      <w:lvlJc w:val="left"/>
      <w:pPr>
        <w:ind w:left="4320" w:hanging="360"/>
      </w:pPr>
      <w:rPr>
        <w:rFonts w:ascii="Wingdings" w:hAnsi="Wingdings" w:hint="default"/>
      </w:rPr>
    </w:lvl>
    <w:lvl w:ilvl="6" w:tplc="756C48EC">
      <w:start w:val="1"/>
      <w:numFmt w:val="bullet"/>
      <w:lvlText w:val=""/>
      <w:lvlJc w:val="left"/>
      <w:pPr>
        <w:ind w:left="5040" w:hanging="360"/>
      </w:pPr>
      <w:rPr>
        <w:rFonts w:ascii="Symbol" w:hAnsi="Symbol" w:hint="default"/>
      </w:rPr>
    </w:lvl>
    <w:lvl w:ilvl="7" w:tplc="107E0E20">
      <w:start w:val="1"/>
      <w:numFmt w:val="bullet"/>
      <w:lvlText w:val="o"/>
      <w:lvlJc w:val="left"/>
      <w:pPr>
        <w:ind w:left="5760" w:hanging="360"/>
      </w:pPr>
      <w:rPr>
        <w:rFonts w:ascii="Courier New" w:hAnsi="Courier New" w:hint="default"/>
      </w:rPr>
    </w:lvl>
    <w:lvl w:ilvl="8" w:tplc="20B65A8E">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3"/>
  </w:num>
  <w:num w:numId="4">
    <w:abstractNumId w:val="8"/>
  </w:num>
  <w:num w:numId="5">
    <w:abstractNumId w:val="4"/>
  </w:num>
  <w:num w:numId="6">
    <w:abstractNumId w:val="11"/>
  </w:num>
  <w:num w:numId="7">
    <w:abstractNumId w:val="21"/>
  </w:num>
  <w:num w:numId="8">
    <w:abstractNumId w:val="7"/>
  </w:num>
  <w:num w:numId="9">
    <w:abstractNumId w:val="10"/>
  </w:num>
  <w:num w:numId="10">
    <w:abstractNumId w:val="16"/>
  </w:num>
  <w:num w:numId="11">
    <w:abstractNumId w:val="0"/>
  </w:num>
  <w:num w:numId="12">
    <w:abstractNumId w:val="17"/>
  </w:num>
  <w:num w:numId="13">
    <w:abstractNumId w:val="1"/>
  </w:num>
  <w:num w:numId="14">
    <w:abstractNumId w:val="22"/>
  </w:num>
  <w:num w:numId="15">
    <w:abstractNumId w:val="13"/>
  </w:num>
  <w:num w:numId="16">
    <w:abstractNumId w:val="9"/>
  </w:num>
  <w:num w:numId="17">
    <w:abstractNumId w:val="19"/>
  </w:num>
  <w:num w:numId="18">
    <w:abstractNumId w:val="6"/>
  </w:num>
  <w:num w:numId="19">
    <w:abstractNumId w:val="18"/>
  </w:num>
  <w:num w:numId="20">
    <w:abstractNumId w:val="2"/>
  </w:num>
  <w:num w:numId="21">
    <w:abstractNumId w:val="5"/>
  </w:num>
  <w:num w:numId="22">
    <w:abstractNumId w:val="12"/>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506"/>
    <w:rsid w:val="000B09BB"/>
    <w:rsid w:val="002F6506"/>
    <w:rsid w:val="006B4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7702FE-2D9F-4691-883E-253019FF7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F6506"/>
    <w:pPr>
      <w:keepNext/>
      <w:keepLines/>
      <w:spacing w:before="160" w:after="80"/>
      <w:outlineLvl w:val="2"/>
    </w:pPr>
    <w:rPr>
      <w:rFonts w:eastAsiaTheme="majorEastAsia" w:cstheme="majorBidi"/>
      <w:color w:val="2E74B5" w:themeColor="accent1" w:themeShade="BF"/>
      <w:kern w:val="2"/>
      <w:sz w:val="28"/>
      <w:szCs w:val="28"/>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2F6506"/>
    <w:rPr>
      <w:rFonts w:eastAsiaTheme="majorEastAsia" w:cstheme="majorBidi"/>
      <w:color w:val="2E74B5" w:themeColor="accent1" w:themeShade="BF"/>
      <w:kern w:val="2"/>
      <w:sz w:val="28"/>
      <w:szCs w:val="28"/>
      <w:lang w:val="en-GB"/>
      <w14:ligatures w14:val="standardContextual"/>
    </w:rPr>
  </w:style>
  <w:style w:type="paragraph" w:styleId="ListParagraph">
    <w:name w:val="List Paragraph"/>
    <w:basedOn w:val="Normal"/>
    <w:uiPriority w:val="34"/>
    <w:qFormat/>
    <w:rsid w:val="002F6506"/>
    <w:pPr>
      <w:ind w:left="720"/>
      <w:contextualSpacing/>
    </w:pPr>
    <w:rPr>
      <w:kern w:val="2"/>
      <w:lang w:val="en-GB"/>
      <w14:ligatures w14:val="standardContextual"/>
    </w:rPr>
  </w:style>
  <w:style w:type="table" w:styleId="TableGrid">
    <w:name w:val="Table Grid"/>
    <w:basedOn w:val="TableNormal"/>
    <w:uiPriority w:val="39"/>
    <w:rsid w:val="002F6506"/>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885D671304B24D927E214070133627" ma:contentTypeVersion="13" ma:contentTypeDescription="Een nieuw document maken." ma:contentTypeScope="" ma:versionID="4ed7e98e04ce7f6ee75cc70446347355">
  <xsd:schema xmlns:xsd="http://www.w3.org/2001/XMLSchema" xmlns:xs="http://www.w3.org/2001/XMLSchema" xmlns:p="http://schemas.microsoft.com/office/2006/metadata/properties" xmlns:ns2="166aa7f8-515c-4443-8a52-641132b0e2be" xmlns:ns3="d1a66c0b-e580-4742-bd65-5e62097f68b4" targetNamespace="http://schemas.microsoft.com/office/2006/metadata/properties" ma:root="true" ma:fieldsID="f01a41b2a25c1f0c7f291edc1dad1c66" ns2:_="" ns3:_="">
    <xsd:import namespace="166aa7f8-515c-4443-8a52-641132b0e2be"/>
    <xsd:import namespace="d1a66c0b-e580-4742-bd65-5e62097f68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6aa7f8-515c-4443-8a52-641132b0e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c30ef75-8629-4732-8d4b-9cd82a8b63e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a66c0b-e580-4742-bd65-5e62097f68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fb832d-a862-4a30-bea9-beb556933a74}" ma:internalName="TaxCatchAll" ma:showField="CatchAllData" ma:web="d1a66c0b-e580-4742-bd65-5e62097f68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6aa7f8-515c-4443-8a52-641132b0e2be">
      <Terms xmlns="http://schemas.microsoft.com/office/infopath/2007/PartnerControls"/>
    </lcf76f155ced4ddcb4097134ff3c332f>
    <TaxCatchAll xmlns="d1a66c0b-e580-4742-bd65-5e62097f68b4" xsi:nil="true"/>
  </documentManagement>
</p:properties>
</file>

<file path=customXml/itemProps1.xml><?xml version="1.0" encoding="utf-8"?>
<ds:datastoreItem xmlns:ds="http://schemas.openxmlformats.org/officeDocument/2006/customXml" ds:itemID="{9DCD7B30-857D-4556-A66A-D09A919D1024}"/>
</file>

<file path=customXml/itemProps2.xml><?xml version="1.0" encoding="utf-8"?>
<ds:datastoreItem xmlns:ds="http://schemas.openxmlformats.org/officeDocument/2006/customXml" ds:itemID="{626ECE16-8952-4479-A084-CE56B6D3CD34}"/>
</file>

<file path=customXml/itemProps3.xml><?xml version="1.0" encoding="utf-8"?>
<ds:datastoreItem xmlns:ds="http://schemas.openxmlformats.org/officeDocument/2006/customXml" ds:itemID="{4892C591-E763-4F40-9263-F92F4E94B547}"/>
</file>

<file path=docProps/app.xml><?xml version="1.0" encoding="utf-8"?>
<Properties xmlns="http://schemas.openxmlformats.org/officeDocument/2006/extended-properties" xmlns:vt="http://schemas.openxmlformats.org/officeDocument/2006/docPropsVTypes">
  <Template>Normal</Template>
  <TotalTime>1</TotalTime>
  <Pages>19</Pages>
  <Words>7132</Words>
  <Characters>40657</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Bekezela Gumbo</dc:creator>
  <cp:keywords>, docId:D216C810867C365700507859243CDE7D</cp:keywords>
  <dc:description/>
  <cp:lastModifiedBy>Bekezela Gumbo</cp:lastModifiedBy>
  <cp:revision>1</cp:revision>
  <dcterms:created xsi:type="dcterms:W3CDTF">2025-09-18T13:42:00Z</dcterms:created>
  <dcterms:modified xsi:type="dcterms:W3CDTF">2025-09-18T13:43:00Z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0x010100CC885D671304B24D927E214070133627</vt:lpwstr>
  </property>
</Properties>
</file>