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3C6C0" w14:textId="77777777" w:rsidR="007F3FBA" w:rsidRDefault="007F3FBA" w:rsidP="00EC3C5F">
      <w:pPr>
        <w:spacing w:after="120" w:line="276" w:lineRule="auto"/>
        <w:jc w:val="center"/>
        <w:rPr>
          <w:rFonts w:ascii="Aptos" w:hAnsi="Aptos"/>
          <w:b/>
          <w:bCs/>
          <w:sz w:val="52"/>
          <w:szCs w:val="52"/>
        </w:rPr>
      </w:pPr>
    </w:p>
    <w:p w14:paraId="5FF8FAA4" w14:textId="77777777" w:rsidR="007F3FBA" w:rsidRDefault="007F3FBA" w:rsidP="00EC3C5F">
      <w:pPr>
        <w:spacing w:after="120" w:line="276" w:lineRule="auto"/>
        <w:jc w:val="center"/>
        <w:rPr>
          <w:rFonts w:ascii="Aptos" w:hAnsi="Aptos"/>
          <w:b/>
          <w:bCs/>
          <w:sz w:val="52"/>
          <w:szCs w:val="52"/>
        </w:rPr>
      </w:pPr>
    </w:p>
    <w:p w14:paraId="3B332C87" w14:textId="77777777" w:rsidR="007F3FBA" w:rsidRDefault="007F3FBA" w:rsidP="00EC3C5F">
      <w:pPr>
        <w:spacing w:after="120" w:line="276" w:lineRule="auto"/>
        <w:jc w:val="center"/>
        <w:rPr>
          <w:rFonts w:ascii="Aptos" w:hAnsi="Aptos"/>
          <w:b/>
          <w:bCs/>
          <w:sz w:val="52"/>
          <w:szCs w:val="52"/>
        </w:rPr>
      </w:pPr>
    </w:p>
    <w:p w14:paraId="776CAD68" w14:textId="77777777" w:rsidR="007F3FBA" w:rsidRDefault="007F3FBA" w:rsidP="00EC3C5F">
      <w:pPr>
        <w:spacing w:after="120" w:line="276" w:lineRule="auto"/>
        <w:jc w:val="center"/>
        <w:rPr>
          <w:rFonts w:ascii="Aptos" w:hAnsi="Aptos"/>
          <w:b/>
          <w:bCs/>
          <w:sz w:val="52"/>
          <w:szCs w:val="52"/>
        </w:rPr>
      </w:pPr>
    </w:p>
    <w:p w14:paraId="44389CE2" w14:textId="77777777" w:rsidR="007F3FBA" w:rsidRDefault="007F3FBA" w:rsidP="00EC3C5F">
      <w:pPr>
        <w:spacing w:after="120" w:line="276" w:lineRule="auto"/>
        <w:jc w:val="center"/>
        <w:rPr>
          <w:rFonts w:ascii="Aptos" w:hAnsi="Aptos"/>
          <w:b/>
          <w:bCs/>
          <w:sz w:val="52"/>
          <w:szCs w:val="52"/>
        </w:rPr>
      </w:pPr>
    </w:p>
    <w:p w14:paraId="28AD14D7" w14:textId="77777777" w:rsidR="007F3FBA" w:rsidRDefault="007F3FBA" w:rsidP="00EC3C5F">
      <w:pPr>
        <w:spacing w:after="120" w:line="276" w:lineRule="auto"/>
        <w:jc w:val="center"/>
        <w:rPr>
          <w:rFonts w:ascii="Aptos" w:hAnsi="Aptos"/>
          <w:b/>
          <w:bCs/>
          <w:sz w:val="52"/>
          <w:szCs w:val="52"/>
        </w:rPr>
      </w:pPr>
    </w:p>
    <w:p w14:paraId="0B6C77FB" w14:textId="4AE75B79" w:rsidR="00A45798" w:rsidRPr="009B0F1D" w:rsidRDefault="005830B4" w:rsidP="00EC3C5F">
      <w:pPr>
        <w:spacing w:after="120" w:line="276" w:lineRule="auto"/>
        <w:jc w:val="center"/>
        <w:rPr>
          <w:rFonts w:ascii="Aptos" w:hAnsi="Aptos"/>
          <w:b/>
          <w:bCs/>
          <w:sz w:val="52"/>
          <w:szCs w:val="52"/>
        </w:rPr>
      </w:pPr>
      <w:r w:rsidRPr="009B0F1D">
        <w:rPr>
          <w:rFonts w:ascii="Aptos" w:hAnsi="Aptos"/>
          <w:b/>
          <w:bCs/>
          <w:sz w:val="52"/>
          <w:szCs w:val="52"/>
        </w:rPr>
        <w:t>INFORME ESPECÍFICO POR PAÍS</w:t>
      </w:r>
    </w:p>
    <w:p w14:paraId="5E43273E" w14:textId="21B99C66" w:rsidR="005830B4" w:rsidRPr="009B0F1D" w:rsidRDefault="005830B4" w:rsidP="00EC3C5F">
      <w:pPr>
        <w:spacing w:after="120" w:line="276" w:lineRule="auto"/>
        <w:jc w:val="center"/>
        <w:rPr>
          <w:rFonts w:ascii="Aptos" w:hAnsi="Aptos"/>
          <w:sz w:val="52"/>
          <w:szCs w:val="52"/>
        </w:rPr>
      </w:pPr>
      <w:r w:rsidRPr="009B0F1D">
        <w:rPr>
          <w:rFonts w:ascii="Aptos" w:hAnsi="Aptos"/>
          <w:sz w:val="52"/>
          <w:szCs w:val="52"/>
        </w:rPr>
        <w:t>METODOLOGÍA</w:t>
      </w:r>
    </w:p>
    <w:p w14:paraId="38365B76" w14:textId="77777777" w:rsidR="00AF28B3" w:rsidRDefault="00F50EF6" w:rsidP="00AF28B3">
      <w:pPr>
        <w:pStyle w:val="TOCHeading"/>
        <w:rPr>
          <w:rFonts w:ascii="Arial" w:hAnsi="Arial" w:cs="Arial"/>
          <w:b/>
          <w:bCs/>
          <w:lang w:val="es-ES"/>
        </w:rPr>
      </w:pPr>
      <w:r w:rsidRPr="009B0F1D">
        <w:rPr>
          <w:rFonts w:ascii="Arial" w:hAnsi="Arial" w:cs="Arial"/>
          <w:b/>
          <w:bCs/>
          <w:lang w:val="es-ES"/>
        </w:rPr>
        <w:br w:type="page"/>
      </w:r>
    </w:p>
    <w:sdt>
      <w:sdtPr>
        <w:rPr>
          <w:rFonts w:asciiTheme="minorHAnsi" w:eastAsiaTheme="minorHAnsi" w:hAnsiTheme="minorHAnsi" w:cstheme="minorBidi"/>
          <w:color w:val="auto"/>
          <w:kern w:val="2"/>
          <w:sz w:val="22"/>
          <w:szCs w:val="22"/>
          <w:lang w:val="es-ES"/>
          <w14:ligatures w14:val="standardContextual"/>
        </w:rPr>
        <w:id w:val="1595666010"/>
        <w:docPartObj>
          <w:docPartGallery w:val="Table of Contents"/>
          <w:docPartUnique/>
        </w:docPartObj>
      </w:sdtPr>
      <w:sdtEndPr>
        <w:rPr>
          <w:b/>
          <w:bCs/>
          <w:noProof/>
        </w:rPr>
      </w:sdtEndPr>
      <w:sdtContent>
        <w:p w14:paraId="569AA19D" w14:textId="07754074" w:rsidR="00F50EF6" w:rsidRPr="00AF28B3" w:rsidRDefault="00F50EF6" w:rsidP="00AF28B3">
          <w:pPr>
            <w:pStyle w:val="TOCHeading"/>
            <w:rPr>
              <w:rFonts w:ascii="Arial" w:hAnsi="Arial" w:cs="Arial"/>
              <w:b/>
              <w:bCs/>
              <w:lang w:val="es-ES"/>
            </w:rPr>
          </w:pPr>
          <w:r w:rsidRPr="009B0F1D">
            <w:rPr>
              <w:lang w:val="es-ES"/>
            </w:rPr>
            <w:t>Índice</w:t>
          </w:r>
        </w:p>
        <w:p w14:paraId="114C0E06" w14:textId="18F40582" w:rsidR="00E83CD4" w:rsidRDefault="00F50EF6">
          <w:pPr>
            <w:pStyle w:val="TOC2"/>
            <w:tabs>
              <w:tab w:val="right" w:leader="dot" w:pos="8494"/>
            </w:tabs>
            <w:rPr>
              <w:rFonts w:eastAsiaTheme="minorEastAsia"/>
              <w:noProof/>
              <w:sz w:val="24"/>
              <w:szCs w:val="24"/>
              <w:lang w:val="es-UY" w:eastAsia="es-UY"/>
            </w:rPr>
          </w:pPr>
          <w:r w:rsidRPr="009B0F1D">
            <w:fldChar w:fldCharType="begin"/>
          </w:r>
          <w:r w:rsidRPr="009B0F1D">
            <w:instrText xml:space="preserve"> TOC \o "1-3" \h \z \u </w:instrText>
          </w:r>
          <w:r w:rsidRPr="009B0F1D">
            <w:fldChar w:fldCharType="separate"/>
          </w:r>
          <w:hyperlink w:anchor="_Toc193301979" w:history="1">
            <w:r w:rsidR="00E83CD4" w:rsidRPr="00BD7139">
              <w:rPr>
                <w:rStyle w:val="Hyperlink"/>
                <w:noProof/>
              </w:rPr>
              <w:t>PLANIFICACIÓN DE LA EVALUACIÓN</w:t>
            </w:r>
            <w:r w:rsidR="00E83CD4">
              <w:rPr>
                <w:noProof/>
                <w:webHidden/>
              </w:rPr>
              <w:tab/>
            </w:r>
            <w:r w:rsidR="00E83CD4">
              <w:rPr>
                <w:noProof/>
                <w:webHidden/>
              </w:rPr>
              <w:fldChar w:fldCharType="begin"/>
            </w:r>
            <w:r w:rsidR="00E83CD4">
              <w:rPr>
                <w:noProof/>
                <w:webHidden/>
              </w:rPr>
              <w:instrText xml:space="preserve"> PAGEREF _Toc193301979 \h </w:instrText>
            </w:r>
            <w:r w:rsidR="00E83CD4">
              <w:rPr>
                <w:noProof/>
                <w:webHidden/>
              </w:rPr>
            </w:r>
            <w:r w:rsidR="00E83CD4">
              <w:rPr>
                <w:noProof/>
                <w:webHidden/>
              </w:rPr>
              <w:fldChar w:fldCharType="separate"/>
            </w:r>
            <w:r w:rsidR="00AD017F">
              <w:rPr>
                <w:noProof/>
                <w:webHidden/>
              </w:rPr>
              <w:t>4</w:t>
            </w:r>
            <w:r w:rsidR="00E83CD4">
              <w:rPr>
                <w:noProof/>
                <w:webHidden/>
              </w:rPr>
              <w:fldChar w:fldCharType="end"/>
            </w:r>
          </w:hyperlink>
        </w:p>
        <w:p w14:paraId="2DC2B042" w14:textId="4369BC29" w:rsidR="00E83CD4" w:rsidRDefault="00E83CD4">
          <w:pPr>
            <w:pStyle w:val="TOC2"/>
            <w:tabs>
              <w:tab w:val="right" w:leader="dot" w:pos="8494"/>
            </w:tabs>
            <w:rPr>
              <w:rFonts w:eastAsiaTheme="minorEastAsia"/>
              <w:noProof/>
              <w:sz w:val="24"/>
              <w:szCs w:val="24"/>
              <w:lang w:val="es-UY" w:eastAsia="es-UY"/>
            </w:rPr>
          </w:pPr>
          <w:hyperlink w:anchor="_Toc193301980" w:history="1">
            <w:r w:rsidRPr="00BD7139">
              <w:rPr>
                <w:rStyle w:val="Hyperlink"/>
                <w:noProof/>
              </w:rPr>
              <w:t>REALIZACIÓN DE LA EVALUACIÓN</w:t>
            </w:r>
            <w:r>
              <w:rPr>
                <w:noProof/>
                <w:webHidden/>
              </w:rPr>
              <w:tab/>
            </w:r>
            <w:r>
              <w:rPr>
                <w:noProof/>
                <w:webHidden/>
              </w:rPr>
              <w:fldChar w:fldCharType="begin"/>
            </w:r>
            <w:r>
              <w:rPr>
                <w:noProof/>
                <w:webHidden/>
              </w:rPr>
              <w:instrText xml:space="preserve"> PAGEREF _Toc193301980 \h </w:instrText>
            </w:r>
            <w:r>
              <w:rPr>
                <w:noProof/>
                <w:webHidden/>
              </w:rPr>
            </w:r>
            <w:r>
              <w:rPr>
                <w:noProof/>
                <w:webHidden/>
              </w:rPr>
              <w:fldChar w:fldCharType="separate"/>
            </w:r>
            <w:r w:rsidR="00AD017F">
              <w:rPr>
                <w:noProof/>
                <w:webHidden/>
              </w:rPr>
              <w:t>7</w:t>
            </w:r>
            <w:r>
              <w:rPr>
                <w:noProof/>
                <w:webHidden/>
              </w:rPr>
              <w:fldChar w:fldCharType="end"/>
            </w:r>
          </w:hyperlink>
        </w:p>
        <w:p w14:paraId="20F090AC" w14:textId="1B1FD155" w:rsidR="00E83CD4" w:rsidRDefault="00E83CD4">
          <w:pPr>
            <w:pStyle w:val="TOC2"/>
            <w:tabs>
              <w:tab w:val="right" w:leader="dot" w:pos="8494"/>
            </w:tabs>
            <w:rPr>
              <w:rFonts w:eastAsiaTheme="minorEastAsia"/>
              <w:noProof/>
              <w:sz w:val="24"/>
              <w:szCs w:val="24"/>
              <w:lang w:val="es-UY" w:eastAsia="es-UY"/>
            </w:rPr>
          </w:pPr>
          <w:hyperlink w:anchor="_Toc193301981" w:history="1">
            <w:r w:rsidRPr="00BD7139">
              <w:rPr>
                <w:rStyle w:val="Hyperlink"/>
                <w:noProof/>
              </w:rPr>
              <w:t>CONTROL DE CALIDAD Y CONSOLIDACIÓN DE PUNTUACIONES</w:t>
            </w:r>
            <w:r>
              <w:rPr>
                <w:noProof/>
                <w:webHidden/>
              </w:rPr>
              <w:tab/>
            </w:r>
            <w:r>
              <w:rPr>
                <w:noProof/>
                <w:webHidden/>
              </w:rPr>
              <w:fldChar w:fldCharType="begin"/>
            </w:r>
            <w:r>
              <w:rPr>
                <w:noProof/>
                <w:webHidden/>
              </w:rPr>
              <w:instrText xml:space="preserve"> PAGEREF _Toc193301981 \h </w:instrText>
            </w:r>
            <w:r>
              <w:rPr>
                <w:noProof/>
                <w:webHidden/>
              </w:rPr>
            </w:r>
            <w:r>
              <w:rPr>
                <w:noProof/>
                <w:webHidden/>
              </w:rPr>
              <w:fldChar w:fldCharType="separate"/>
            </w:r>
            <w:r w:rsidR="00AD017F">
              <w:rPr>
                <w:noProof/>
                <w:webHidden/>
              </w:rPr>
              <w:t>12</w:t>
            </w:r>
            <w:r>
              <w:rPr>
                <w:noProof/>
                <w:webHidden/>
              </w:rPr>
              <w:fldChar w:fldCharType="end"/>
            </w:r>
          </w:hyperlink>
        </w:p>
        <w:p w14:paraId="47EACEE8" w14:textId="5EBD69C0" w:rsidR="00E83CD4" w:rsidRDefault="00E83CD4">
          <w:pPr>
            <w:pStyle w:val="TOC2"/>
            <w:tabs>
              <w:tab w:val="right" w:leader="dot" w:pos="8494"/>
            </w:tabs>
            <w:rPr>
              <w:rFonts w:eastAsiaTheme="minorEastAsia"/>
              <w:noProof/>
              <w:sz w:val="24"/>
              <w:szCs w:val="24"/>
              <w:lang w:val="es-UY" w:eastAsia="es-UY"/>
            </w:rPr>
          </w:pPr>
          <w:hyperlink w:anchor="_Toc193301982" w:history="1">
            <w:r w:rsidRPr="00BD7139">
              <w:rPr>
                <w:rStyle w:val="Hyperlink"/>
                <w:noProof/>
              </w:rPr>
              <w:t>REDACCIÓN DE INFORMES NACIONALES</w:t>
            </w:r>
            <w:r>
              <w:rPr>
                <w:noProof/>
                <w:webHidden/>
              </w:rPr>
              <w:tab/>
            </w:r>
            <w:r>
              <w:rPr>
                <w:noProof/>
                <w:webHidden/>
              </w:rPr>
              <w:fldChar w:fldCharType="begin"/>
            </w:r>
            <w:r>
              <w:rPr>
                <w:noProof/>
                <w:webHidden/>
              </w:rPr>
              <w:instrText xml:space="preserve"> PAGEREF _Toc193301982 \h </w:instrText>
            </w:r>
            <w:r>
              <w:rPr>
                <w:noProof/>
                <w:webHidden/>
              </w:rPr>
            </w:r>
            <w:r>
              <w:rPr>
                <w:noProof/>
                <w:webHidden/>
              </w:rPr>
              <w:fldChar w:fldCharType="separate"/>
            </w:r>
            <w:r w:rsidR="00AD017F">
              <w:rPr>
                <w:noProof/>
                <w:webHidden/>
              </w:rPr>
              <w:t>14</w:t>
            </w:r>
            <w:r>
              <w:rPr>
                <w:noProof/>
                <w:webHidden/>
              </w:rPr>
              <w:fldChar w:fldCharType="end"/>
            </w:r>
          </w:hyperlink>
        </w:p>
        <w:p w14:paraId="16106B82" w14:textId="106407E4" w:rsidR="00E83CD4" w:rsidRDefault="00E83CD4">
          <w:pPr>
            <w:pStyle w:val="TOC2"/>
            <w:tabs>
              <w:tab w:val="right" w:leader="dot" w:pos="8494"/>
            </w:tabs>
            <w:rPr>
              <w:rFonts w:eastAsiaTheme="minorEastAsia"/>
              <w:noProof/>
              <w:sz w:val="24"/>
              <w:szCs w:val="24"/>
              <w:lang w:val="es-UY" w:eastAsia="es-UY"/>
            </w:rPr>
          </w:pPr>
          <w:hyperlink w:anchor="_Toc193301983" w:history="1">
            <w:r w:rsidRPr="00BD7139">
              <w:rPr>
                <w:rStyle w:val="Hyperlink"/>
                <w:noProof/>
              </w:rPr>
              <w:t>DISEÑO Y PUBLICACIÓN</w:t>
            </w:r>
            <w:r>
              <w:rPr>
                <w:noProof/>
                <w:webHidden/>
              </w:rPr>
              <w:tab/>
            </w:r>
            <w:r>
              <w:rPr>
                <w:noProof/>
                <w:webHidden/>
              </w:rPr>
              <w:fldChar w:fldCharType="begin"/>
            </w:r>
            <w:r>
              <w:rPr>
                <w:noProof/>
                <w:webHidden/>
              </w:rPr>
              <w:instrText xml:space="preserve"> PAGEREF _Toc193301983 \h </w:instrText>
            </w:r>
            <w:r>
              <w:rPr>
                <w:noProof/>
                <w:webHidden/>
              </w:rPr>
            </w:r>
            <w:r>
              <w:rPr>
                <w:noProof/>
                <w:webHidden/>
              </w:rPr>
              <w:fldChar w:fldCharType="separate"/>
            </w:r>
            <w:r w:rsidR="00AD017F">
              <w:rPr>
                <w:noProof/>
                <w:webHidden/>
              </w:rPr>
              <w:t>16</w:t>
            </w:r>
            <w:r>
              <w:rPr>
                <w:noProof/>
                <w:webHidden/>
              </w:rPr>
              <w:fldChar w:fldCharType="end"/>
            </w:r>
          </w:hyperlink>
        </w:p>
        <w:p w14:paraId="0EF909CF" w14:textId="6521DA87" w:rsidR="00E83CD4" w:rsidRDefault="00E83CD4">
          <w:pPr>
            <w:pStyle w:val="TOC2"/>
            <w:tabs>
              <w:tab w:val="right" w:leader="dot" w:pos="8494"/>
            </w:tabs>
            <w:rPr>
              <w:rFonts w:eastAsiaTheme="minorEastAsia"/>
              <w:noProof/>
              <w:sz w:val="24"/>
              <w:szCs w:val="24"/>
              <w:lang w:val="es-UY" w:eastAsia="es-UY"/>
            </w:rPr>
          </w:pPr>
          <w:hyperlink w:anchor="_Toc193301984" w:history="1">
            <w:r w:rsidRPr="00BD7139">
              <w:rPr>
                <w:rStyle w:val="Hyperlink"/>
                <w:noProof/>
              </w:rPr>
              <w:t>ANEXO</w:t>
            </w:r>
            <w:r>
              <w:rPr>
                <w:noProof/>
                <w:webHidden/>
              </w:rPr>
              <w:tab/>
            </w:r>
            <w:r>
              <w:rPr>
                <w:noProof/>
                <w:webHidden/>
              </w:rPr>
              <w:fldChar w:fldCharType="begin"/>
            </w:r>
            <w:r>
              <w:rPr>
                <w:noProof/>
                <w:webHidden/>
              </w:rPr>
              <w:instrText xml:space="preserve"> PAGEREF _Toc193301984 \h </w:instrText>
            </w:r>
            <w:r>
              <w:rPr>
                <w:noProof/>
                <w:webHidden/>
              </w:rPr>
            </w:r>
            <w:r>
              <w:rPr>
                <w:noProof/>
                <w:webHidden/>
              </w:rPr>
              <w:fldChar w:fldCharType="separate"/>
            </w:r>
            <w:r w:rsidR="00AD017F">
              <w:rPr>
                <w:noProof/>
                <w:webHidden/>
              </w:rPr>
              <w:t>17</w:t>
            </w:r>
            <w:r>
              <w:rPr>
                <w:noProof/>
                <w:webHidden/>
              </w:rPr>
              <w:fldChar w:fldCharType="end"/>
            </w:r>
          </w:hyperlink>
        </w:p>
        <w:p w14:paraId="02FA0ACB" w14:textId="6A523CB9" w:rsidR="00E83CD4" w:rsidRDefault="00E83CD4">
          <w:pPr>
            <w:pStyle w:val="TOC3"/>
            <w:tabs>
              <w:tab w:val="right" w:leader="dot" w:pos="8494"/>
            </w:tabs>
            <w:rPr>
              <w:rFonts w:eastAsiaTheme="minorEastAsia"/>
              <w:noProof/>
              <w:sz w:val="24"/>
              <w:szCs w:val="24"/>
              <w:lang w:val="es-UY" w:eastAsia="es-UY"/>
            </w:rPr>
          </w:pPr>
          <w:hyperlink w:anchor="_Toc193301985" w:history="1">
            <w:r w:rsidRPr="00BD7139">
              <w:rPr>
                <w:rStyle w:val="Hyperlink"/>
                <w:noProof/>
              </w:rPr>
              <w:t>Definiciones de los Principios y Dimensiones.</w:t>
            </w:r>
            <w:r>
              <w:rPr>
                <w:noProof/>
                <w:webHidden/>
              </w:rPr>
              <w:tab/>
            </w:r>
            <w:r>
              <w:rPr>
                <w:noProof/>
                <w:webHidden/>
              </w:rPr>
              <w:fldChar w:fldCharType="begin"/>
            </w:r>
            <w:r>
              <w:rPr>
                <w:noProof/>
                <w:webHidden/>
              </w:rPr>
              <w:instrText xml:space="preserve"> PAGEREF _Toc193301985 \h </w:instrText>
            </w:r>
            <w:r>
              <w:rPr>
                <w:noProof/>
                <w:webHidden/>
              </w:rPr>
            </w:r>
            <w:r>
              <w:rPr>
                <w:noProof/>
                <w:webHidden/>
              </w:rPr>
              <w:fldChar w:fldCharType="separate"/>
            </w:r>
            <w:r w:rsidR="00AD017F">
              <w:rPr>
                <w:noProof/>
                <w:webHidden/>
              </w:rPr>
              <w:t>17</w:t>
            </w:r>
            <w:r>
              <w:rPr>
                <w:noProof/>
                <w:webHidden/>
              </w:rPr>
              <w:fldChar w:fldCharType="end"/>
            </w:r>
          </w:hyperlink>
        </w:p>
        <w:p w14:paraId="4D7CB0E3" w14:textId="570BCF92" w:rsidR="00E83CD4" w:rsidRDefault="00E83CD4">
          <w:pPr>
            <w:pStyle w:val="TOC3"/>
            <w:tabs>
              <w:tab w:val="right" w:leader="dot" w:pos="8494"/>
            </w:tabs>
            <w:rPr>
              <w:rFonts w:eastAsiaTheme="minorEastAsia"/>
              <w:noProof/>
              <w:sz w:val="24"/>
              <w:szCs w:val="24"/>
              <w:lang w:val="es-UY" w:eastAsia="es-UY"/>
            </w:rPr>
          </w:pPr>
          <w:hyperlink w:anchor="_Toc193301986" w:history="1">
            <w:r w:rsidRPr="00BD7139">
              <w:rPr>
                <w:rStyle w:val="Hyperlink"/>
                <w:noProof/>
              </w:rPr>
              <w:t>Preguntas orientadoras para el panel</w:t>
            </w:r>
            <w:r>
              <w:rPr>
                <w:noProof/>
                <w:webHidden/>
              </w:rPr>
              <w:tab/>
            </w:r>
            <w:r>
              <w:rPr>
                <w:noProof/>
                <w:webHidden/>
              </w:rPr>
              <w:fldChar w:fldCharType="begin"/>
            </w:r>
            <w:r>
              <w:rPr>
                <w:noProof/>
                <w:webHidden/>
              </w:rPr>
              <w:instrText xml:space="preserve"> PAGEREF _Toc193301986 \h </w:instrText>
            </w:r>
            <w:r>
              <w:rPr>
                <w:noProof/>
                <w:webHidden/>
              </w:rPr>
            </w:r>
            <w:r>
              <w:rPr>
                <w:noProof/>
                <w:webHidden/>
              </w:rPr>
              <w:fldChar w:fldCharType="separate"/>
            </w:r>
            <w:r w:rsidR="00AD017F">
              <w:rPr>
                <w:noProof/>
                <w:webHidden/>
              </w:rPr>
              <w:t>20</w:t>
            </w:r>
            <w:r>
              <w:rPr>
                <w:noProof/>
                <w:webHidden/>
              </w:rPr>
              <w:fldChar w:fldCharType="end"/>
            </w:r>
          </w:hyperlink>
        </w:p>
        <w:p w14:paraId="439AD593" w14:textId="3D4B9743" w:rsidR="00E83CD4" w:rsidRDefault="00E83CD4">
          <w:pPr>
            <w:pStyle w:val="TOC3"/>
            <w:tabs>
              <w:tab w:val="right" w:leader="dot" w:pos="8494"/>
            </w:tabs>
            <w:rPr>
              <w:rFonts w:eastAsiaTheme="minorEastAsia"/>
              <w:noProof/>
              <w:sz w:val="24"/>
              <w:szCs w:val="24"/>
              <w:lang w:val="es-UY" w:eastAsia="es-UY"/>
            </w:rPr>
          </w:pPr>
          <w:hyperlink w:anchor="_Toc193301987" w:history="1">
            <w:r w:rsidRPr="00BD7139">
              <w:rPr>
                <w:rStyle w:val="Hyperlink"/>
                <w:noProof/>
              </w:rPr>
              <w:t>Fuentes a consultar</w:t>
            </w:r>
            <w:r>
              <w:rPr>
                <w:noProof/>
                <w:webHidden/>
              </w:rPr>
              <w:tab/>
            </w:r>
            <w:r>
              <w:rPr>
                <w:noProof/>
                <w:webHidden/>
              </w:rPr>
              <w:fldChar w:fldCharType="begin"/>
            </w:r>
            <w:r>
              <w:rPr>
                <w:noProof/>
                <w:webHidden/>
              </w:rPr>
              <w:instrText xml:space="preserve"> PAGEREF _Toc193301987 \h </w:instrText>
            </w:r>
            <w:r>
              <w:rPr>
                <w:noProof/>
                <w:webHidden/>
              </w:rPr>
            </w:r>
            <w:r>
              <w:rPr>
                <w:noProof/>
                <w:webHidden/>
              </w:rPr>
              <w:fldChar w:fldCharType="separate"/>
            </w:r>
            <w:r w:rsidR="00AD017F">
              <w:rPr>
                <w:noProof/>
                <w:webHidden/>
              </w:rPr>
              <w:t>41</w:t>
            </w:r>
            <w:r>
              <w:rPr>
                <w:noProof/>
                <w:webHidden/>
              </w:rPr>
              <w:fldChar w:fldCharType="end"/>
            </w:r>
          </w:hyperlink>
        </w:p>
        <w:p w14:paraId="0536E5D2" w14:textId="26004278" w:rsidR="00F50EF6" w:rsidRPr="009B0F1D" w:rsidRDefault="00F50EF6">
          <w:r w:rsidRPr="009B0F1D">
            <w:rPr>
              <w:b/>
              <w:bCs/>
              <w:noProof/>
            </w:rPr>
            <w:fldChar w:fldCharType="end"/>
          </w:r>
        </w:p>
      </w:sdtContent>
    </w:sdt>
    <w:p w14:paraId="58740938" w14:textId="77777777" w:rsidR="00F50EF6" w:rsidRPr="009B0F1D" w:rsidRDefault="00F50EF6">
      <w:pPr>
        <w:rPr>
          <w:rFonts w:ascii="Arial" w:hAnsi="Arial" w:cs="Arial"/>
          <w:b/>
          <w:bCs/>
        </w:rPr>
      </w:pPr>
      <w:r w:rsidRPr="009B0F1D">
        <w:rPr>
          <w:rFonts w:ascii="Arial" w:hAnsi="Arial" w:cs="Arial"/>
          <w:b/>
          <w:bCs/>
        </w:rPr>
        <w:br w:type="page"/>
      </w:r>
    </w:p>
    <w:p w14:paraId="6D5C7EC7" w14:textId="37BBB083" w:rsidR="00201B2A" w:rsidRDefault="00201B2A" w:rsidP="007F3FBA">
      <w:pPr>
        <w:spacing w:after="120" w:line="276" w:lineRule="auto"/>
        <w:jc w:val="both"/>
        <w:rPr>
          <w:rFonts w:ascii="Arial" w:hAnsi="Arial" w:cs="Arial"/>
        </w:rPr>
      </w:pPr>
      <w:r w:rsidRPr="009B0F1D">
        <w:rPr>
          <w:rFonts w:ascii="Arial" w:hAnsi="Arial" w:cs="Arial"/>
          <w:b/>
          <w:bCs/>
        </w:rPr>
        <w:lastRenderedPageBreak/>
        <w:t>Los Informes Específicos por País (IEP)</w:t>
      </w:r>
      <w:r w:rsidRPr="009B0F1D">
        <w:rPr>
          <w:rFonts w:ascii="Arial" w:hAnsi="Arial" w:cs="Arial"/>
        </w:rPr>
        <w:t xml:space="preserve"> ofrecen un análisis exhaustivo del ambiente habilitante para la sociedad civil en un país, identificando tanto las fortalezas como las áreas que requieren atención. Esta guía proporciona instrucciones detalladas para los Miembros de la Red</w:t>
      </w:r>
      <w:r w:rsidR="009B0F1D" w:rsidRPr="009B0F1D">
        <w:rPr>
          <w:rFonts w:ascii="Arial" w:hAnsi="Arial" w:cs="Arial"/>
        </w:rPr>
        <w:t xml:space="preserve"> (MR)</w:t>
      </w:r>
      <w:r w:rsidRPr="009B0F1D">
        <w:rPr>
          <w:rFonts w:ascii="Arial" w:hAnsi="Arial" w:cs="Arial"/>
        </w:rPr>
        <w:t xml:space="preserve"> sobre cómo implementar de manera eficaz la metodología de los IEP, desde la organización del panel y la evaluación de las dimensiones hasta la redacción del informe narrativo final. Se recomienda encarecidamente que todos los </w:t>
      </w:r>
      <w:r w:rsidR="009B0F1D" w:rsidRPr="009B0F1D">
        <w:rPr>
          <w:rFonts w:ascii="Arial" w:hAnsi="Arial" w:cs="Arial"/>
        </w:rPr>
        <w:t xml:space="preserve">MR </w:t>
      </w:r>
      <w:r w:rsidRPr="009B0F1D">
        <w:rPr>
          <w:rFonts w:ascii="Arial" w:hAnsi="Arial" w:cs="Arial"/>
        </w:rPr>
        <w:t>revisen y sigan cuidadosamente estas directrices antes y durante el ciclo de investigación de los IEP.</w:t>
      </w:r>
    </w:p>
    <w:p w14:paraId="107878BB" w14:textId="30C383E4" w:rsidR="00201B2A" w:rsidRPr="009B0F1D" w:rsidRDefault="00201B2A" w:rsidP="00EC3C5F">
      <w:pPr>
        <w:spacing w:after="120" w:line="276" w:lineRule="auto"/>
        <w:rPr>
          <w:rFonts w:ascii="Arial" w:hAnsi="Arial" w:cs="Arial"/>
        </w:rPr>
      </w:pPr>
      <w:r w:rsidRPr="009B0F1D">
        <w:rPr>
          <w:rFonts w:ascii="Arial" w:hAnsi="Arial" w:cs="Arial"/>
        </w:rPr>
        <w:t>La metodología de los IEP evalúa el ambiente habilitante para la sociedad civil en torno a seis principios:</w:t>
      </w:r>
    </w:p>
    <w:p w14:paraId="78BC48B7" w14:textId="77777777" w:rsidR="00201B2A" w:rsidRPr="009B0F1D" w:rsidRDefault="00201B2A" w:rsidP="00EC3C5F">
      <w:pPr>
        <w:numPr>
          <w:ilvl w:val="0"/>
          <w:numId w:val="1"/>
        </w:numPr>
        <w:spacing w:after="120" w:line="276" w:lineRule="auto"/>
        <w:ind w:left="0"/>
        <w:rPr>
          <w:rFonts w:ascii="Arial" w:hAnsi="Arial" w:cs="Arial"/>
        </w:rPr>
      </w:pPr>
      <w:r w:rsidRPr="009B0F1D">
        <w:rPr>
          <w:rFonts w:ascii="Arial" w:hAnsi="Arial" w:cs="Arial"/>
        </w:rPr>
        <w:t>Respeto y protección de las libertades cívicas fundamentales</w:t>
      </w:r>
    </w:p>
    <w:p w14:paraId="6A3E89D1" w14:textId="77777777" w:rsidR="00201B2A" w:rsidRPr="009B0F1D" w:rsidRDefault="00201B2A" w:rsidP="00EC3C5F">
      <w:pPr>
        <w:numPr>
          <w:ilvl w:val="0"/>
          <w:numId w:val="1"/>
        </w:numPr>
        <w:spacing w:after="120" w:line="276" w:lineRule="auto"/>
        <w:ind w:left="0"/>
        <w:rPr>
          <w:rFonts w:ascii="Arial" w:hAnsi="Arial" w:cs="Arial"/>
        </w:rPr>
      </w:pPr>
      <w:r w:rsidRPr="009B0F1D">
        <w:rPr>
          <w:rFonts w:ascii="Arial" w:hAnsi="Arial" w:cs="Arial"/>
        </w:rPr>
        <w:t>Marco legal y normativo que favorece la asociación</w:t>
      </w:r>
    </w:p>
    <w:p w14:paraId="7C3A0225" w14:textId="77777777" w:rsidR="00201B2A" w:rsidRPr="009B0F1D" w:rsidRDefault="00201B2A" w:rsidP="00EC3C5F">
      <w:pPr>
        <w:numPr>
          <w:ilvl w:val="0"/>
          <w:numId w:val="1"/>
        </w:numPr>
        <w:spacing w:after="120" w:line="276" w:lineRule="auto"/>
        <w:ind w:left="0"/>
        <w:rPr>
          <w:rFonts w:ascii="Arial" w:hAnsi="Arial" w:cs="Arial"/>
        </w:rPr>
      </w:pPr>
      <w:r w:rsidRPr="009B0F1D">
        <w:rPr>
          <w:rFonts w:ascii="Arial" w:hAnsi="Arial" w:cs="Arial"/>
        </w:rPr>
        <w:t>Recursos accesibles y sostenibles</w:t>
      </w:r>
    </w:p>
    <w:p w14:paraId="587142DF" w14:textId="77777777" w:rsidR="00201B2A" w:rsidRPr="009B0F1D" w:rsidRDefault="00201B2A" w:rsidP="00EC3C5F">
      <w:pPr>
        <w:numPr>
          <w:ilvl w:val="0"/>
          <w:numId w:val="1"/>
        </w:numPr>
        <w:spacing w:after="120" w:line="276" w:lineRule="auto"/>
        <w:ind w:left="0"/>
        <w:rPr>
          <w:rFonts w:ascii="Arial" w:hAnsi="Arial" w:cs="Arial"/>
        </w:rPr>
      </w:pPr>
      <w:r w:rsidRPr="009B0F1D">
        <w:rPr>
          <w:rFonts w:ascii="Arial" w:hAnsi="Arial" w:cs="Arial"/>
        </w:rPr>
        <w:t>Estado abierto y receptivo</w:t>
      </w:r>
    </w:p>
    <w:p w14:paraId="0C1F418D" w14:textId="77777777" w:rsidR="00201B2A" w:rsidRPr="009B0F1D" w:rsidRDefault="00201B2A" w:rsidP="00EC3C5F">
      <w:pPr>
        <w:numPr>
          <w:ilvl w:val="0"/>
          <w:numId w:val="1"/>
        </w:numPr>
        <w:spacing w:after="120" w:line="276" w:lineRule="auto"/>
        <w:ind w:left="0"/>
        <w:rPr>
          <w:rFonts w:ascii="Arial" w:hAnsi="Arial" w:cs="Arial"/>
        </w:rPr>
      </w:pPr>
      <w:r w:rsidRPr="009B0F1D">
        <w:rPr>
          <w:rFonts w:ascii="Arial" w:hAnsi="Arial" w:cs="Arial"/>
        </w:rPr>
        <w:t>Cultura pública y discursos favorables hacia la sociedad civil</w:t>
      </w:r>
    </w:p>
    <w:p w14:paraId="26227E37" w14:textId="77777777" w:rsidR="00201B2A" w:rsidRPr="009B0F1D" w:rsidRDefault="00201B2A" w:rsidP="00EC3C5F">
      <w:pPr>
        <w:numPr>
          <w:ilvl w:val="0"/>
          <w:numId w:val="1"/>
        </w:numPr>
        <w:spacing w:after="120" w:line="276" w:lineRule="auto"/>
        <w:ind w:left="0"/>
        <w:rPr>
          <w:rFonts w:ascii="Arial" w:hAnsi="Arial" w:cs="Arial"/>
        </w:rPr>
      </w:pPr>
      <w:r w:rsidRPr="009B0F1D">
        <w:rPr>
          <w:rFonts w:ascii="Arial" w:hAnsi="Arial" w:cs="Arial"/>
        </w:rPr>
        <w:t>Acceso a un entorno digital seguro</w:t>
      </w:r>
    </w:p>
    <w:p w14:paraId="1450BC1B" w14:textId="7AF41E56" w:rsidR="00201B2A" w:rsidRPr="009B0F1D" w:rsidRDefault="00201B2A" w:rsidP="007F3FBA">
      <w:pPr>
        <w:spacing w:after="120" w:line="276" w:lineRule="auto"/>
        <w:jc w:val="both"/>
        <w:rPr>
          <w:rFonts w:ascii="Arial" w:hAnsi="Arial" w:cs="Arial"/>
        </w:rPr>
      </w:pPr>
      <w:r w:rsidRPr="007F3FBA">
        <w:rPr>
          <w:rFonts w:ascii="Arial" w:hAnsi="Arial" w:cs="Arial"/>
        </w:rPr>
        <w:t>Cada principio abarca diversas dimensiones</w:t>
      </w:r>
      <w:r w:rsidRPr="007F3FBA">
        <w:rPr>
          <w:rStyle w:val="FootnoteReference"/>
          <w:rFonts w:ascii="Arial" w:hAnsi="Arial" w:cs="Arial"/>
        </w:rPr>
        <w:footnoteReference w:id="1"/>
      </w:r>
      <w:r w:rsidRPr="007F3FBA">
        <w:rPr>
          <w:rFonts w:ascii="Arial" w:hAnsi="Arial" w:cs="Arial"/>
        </w:rPr>
        <w:t xml:space="preserve"> que se evalúan y se agregan para proporcionar puntuaciones cuantitativas por principio. Estas puntuaciones reflejan el grado en que el ambiente de un país facilita o dificulta el trabajo de la sociedad civil. Las puntuaciones se presentan en una escala de cinco categorías: </w:t>
      </w:r>
      <w:r w:rsidRPr="007F3FBA">
        <w:rPr>
          <w:rFonts w:ascii="Arial" w:hAnsi="Arial" w:cs="Arial"/>
          <w:b/>
          <w:bCs/>
        </w:rPr>
        <w:t xml:space="preserve">totalmente inhibidor, inhibidor, parcialmente </w:t>
      </w:r>
      <w:r w:rsidR="009B0F1D" w:rsidRPr="007F3FBA">
        <w:rPr>
          <w:rFonts w:ascii="Arial" w:hAnsi="Arial" w:cs="Arial"/>
          <w:b/>
          <w:bCs/>
        </w:rPr>
        <w:t>habilitante</w:t>
      </w:r>
      <w:r w:rsidRPr="007F3FBA">
        <w:rPr>
          <w:rFonts w:ascii="Arial" w:hAnsi="Arial" w:cs="Arial"/>
          <w:b/>
          <w:bCs/>
        </w:rPr>
        <w:t>, habilitante y totalmente habilitante</w:t>
      </w:r>
      <w:r w:rsidRPr="007F3FBA">
        <w:rPr>
          <w:rFonts w:ascii="Arial" w:hAnsi="Arial" w:cs="Arial"/>
        </w:rPr>
        <w:t>.</w:t>
      </w:r>
    </w:p>
    <w:p w14:paraId="784D0D28" w14:textId="756ACE39" w:rsidR="00201B2A" w:rsidRDefault="00201B2A" w:rsidP="007F3FBA">
      <w:pPr>
        <w:spacing w:after="120" w:line="276" w:lineRule="auto"/>
        <w:jc w:val="both"/>
        <w:rPr>
          <w:rFonts w:ascii="Arial" w:hAnsi="Arial" w:cs="Arial"/>
        </w:rPr>
      </w:pPr>
      <w:r w:rsidRPr="009B0F1D">
        <w:rPr>
          <w:rFonts w:ascii="Arial" w:hAnsi="Arial" w:cs="Arial"/>
        </w:rPr>
        <w:t xml:space="preserve">Para complementar las puntuaciones, los </w:t>
      </w:r>
      <w:r w:rsidR="009B0F1D" w:rsidRPr="009B0F1D">
        <w:rPr>
          <w:rFonts w:ascii="Arial" w:hAnsi="Arial" w:cs="Arial"/>
        </w:rPr>
        <w:t>IEP</w:t>
      </w:r>
      <w:r w:rsidRPr="009B0F1D">
        <w:rPr>
          <w:rFonts w:ascii="Arial" w:hAnsi="Arial" w:cs="Arial"/>
        </w:rPr>
        <w:t xml:space="preserve"> incluirán un análisis narrativo del ambiente que habilita o dificulta la labor de la sociedad civil, identificando fortalezas, debilidades y ofreciendo recomendaciones.</w:t>
      </w:r>
    </w:p>
    <w:p w14:paraId="4BC18F73" w14:textId="20BBC156" w:rsidR="009B0F1D" w:rsidRPr="009B0F1D" w:rsidRDefault="005565EF" w:rsidP="00EC3C5F">
      <w:pPr>
        <w:spacing w:after="120" w:line="276" w:lineRule="auto"/>
        <w:rPr>
          <w:rFonts w:ascii="Arial" w:hAnsi="Arial" w:cs="Arial"/>
        </w:rPr>
      </w:pPr>
      <w:r w:rsidRPr="005565EF">
        <w:rPr>
          <w:rFonts w:ascii="Arial" w:hAnsi="Arial" w:cs="Arial"/>
          <w:noProof/>
        </w:rPr>
        <w:drawing>
          <wp:inline distT="0" distB="0" distL="0" distR="0" wp14:anchorId="5DF4CD0B" wp14:editId="045462EC">
            <wp:extent cx="5400040" cy="2790825"/>
            <wp:effectExtent l="0" t="0" r="0" b="9525"/>
            <wp:docPr id="5" name="Picture 4" descr="A purple triangle with black text&#10;&#10;AI-generated content may be incorrect.">
              <a:extLst xmlns:a="http://schemas.openxmlformats.org/drawingml/2006/main">
                <a:ext uri="{FF2B5EF4-FFF2-40B4-BE49-F238E27FC236}">
                  <a16:creationId xmlns:a16="http://schemas.microsoft.com/office/drawing/2014/main" id="{6792AFD9-D784-615C-DE11-0B2779FCDE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urple triangle with black text&#10;&#10;AI-generated content may be incorrect.">
                      <a:extLst>
                        <a:ext uri="{FF2B5EF4-FFF2-40B4-BE49-F238E27FC236}">
                          <a16:creationId xmlns:a16="http://schemas.microsoft.com/office/drawing/2014/main" id="{6792AFD9-D784-615C-DE11-0B2779FCDEC0}"/>
                        </a:ext>
                      </a:extLst>
                    </pic:cNvPr>
                    <pic:cNvPicPr>
                      <a:picLocks noChangeAspect="1"/>
                    </pic:cNvPicPr>
                  </pic:nvPicPr>
                  <pic:blipFill>
                    <a:blip r:embed="rId8"/>
                    <a:stretch>
                      <a:fillRect/>
                    </a:stretch>
                  </pic:blipFill>
                  <pic:spPr>
                    <a:xfrm>
                      <a:off x="0" y="0"/>
                      <a:ext cx="5400040" cy="2790825"/>
                    </a:xfrm>
                    <a:prstGeom prst="rect">
                      <a:avLst/>
                    </a:prstGeom>
                  </pic:spPr>
                </pic:pic>
              </a:graphicData>
            </a:graphic>
          </wp:inline>
        </w:drawing>
      </w:r>
    </w:p>
    <w:p w14:paraId="3EE19FA6" w14:textId="2E881764" w:rsidR="00201B2A" w:rsidRPr="009B0F1D" w:rsidRDefault="00201B2A" w:rsidP="00EC3C5F">
      <w:pPr>
        <w:spacing w:after="120" w:line="276" w:lineRule="auto"/>
        <w:rPr>
          <w:rFonts w:ascii="Arial" w:hAnsi="Arial" w:cs="Arial"/>
          <w:b/>
          <w:bCs/>
        </w:rPr>
      </w:pPr>
      <w:r w:rsidRPr="009B0F1D">
        <w:rPr>
          <w:rFonts w:ascii="Arial" w:hAnsi="Arial" w:cs="Arial"/>
          <w:b/>
          <w:bCs/>
        </w:rPr>
        <w:t>¿Cuál es el objetivo de los IEP?</w:t>
      </w:r>
    </w:p>
    <w:p w14:paraId="70B66ED4" w14:textId="61618B99" w:rsidR="00201B2A" w:rsidRPr="009B0F1D" w:rsidRDefault="00201B2A" w:rsidP="005565EF">
      <w:pPr>
        <w:spacing w:after="120" w:line="276" w:lineRule="auto"/>
        <w:jc w:val="both"/>
        <w:rPr>
          <w:rFonts w:ascii="Arial" w:hAnsi="Arial" w:cs="Arial"/>
        </w:rPr>
      </w:pPr>
      <w:r w:rsidRPr="009B0F1D">
        <w:rPr>
          <w:rFonts w:ascii="Arial" w:hAnsi="Arial" w:cs="Arial"/>
        </w:rPr>
        <w:lastRenderedPageBreak/>
        <w:t xml:space="preserve">El objetivo de los informes por país es proporcionar una visión objetiva y basada en evidencia sobre el estado del </w:t>
      </w:r>
      <w:r w:rsidRPr="009B0F1D">
        <w:rPr>
          <w:rFonts w:ascii="Arial" w:hAnsi="Arial" w:cs="Arial"/>
          <w:b/>
          <w:bCs/>
        </w:rPr>
        <w:t>ambiente habilitante</w:t>
      </w:r>
      <w:r w:rsidRPr="009B0F1D">
        <w:rPr>
          <w:rFonts w:ascii="Arial" w:hAnsi="Arial" w:cs="Arial"/>
        </w:rPr>
        <w:t xml:space="preserve"> para la sociedad civil en un país, y utilizar esta información para apoyar los esfuerzos de incidencia y contribuir al fortalecimiento de dicho ambiente habilitante.</w:t>
      </w:r>
    </w:p>
    <w:p w14:paraId="21C6BED1" w14:textId="00377757" w:rsidR="00201B2A" w:rsidRPr="009B0F1D" w:rsidRDefault="00201B2A" w:rsidP="005565EF">
      <w:pPr>
        <w:spacing w:after="120" w:line="276" w:lineRule="auto"/>
        <w:jc w:val="both"/>
        <w:rPr>
          <w:rFonts w:ascii="Arial" w:hAnsi="Arial" w:cs="Arial"/>
        </w:rPr>
      </w:pPr>
      <w:r w:rsidRPr="009B0F1D">
        <w:rPr>
          <w:rFonts w:ascii="Arial" w:hAnsi="Arial" w:cs="Arial"/>
        </w:rPr>
        <w:t xml:space="preserve">El propósito de los IEP no es clasificar o comparar países, ya que hay numerosos matices que influyen en el ambiente habilitante o inhibidor en diferentes contextos. En cambio, estos informes sirven como recursos útiles para rastrear la evolución del </w:t>
      </w:r>
      <w:r w:rsidRPr="009B0F1D">
        <w:rPr>
          <w:rFonts w:ascii="Arial" w:hAnsi="Arial" w:cs="Arial"/>
          <w:b/>
          <w:bCs/>
        </w:rPr>
        <w:t>ambiente habilitante</w:t>
      </w:r>
      <w:r w:rsidRPr="009B0F1D">
        <w:rPr>
          <w:rFonts w:ascii="Arial" w:hAnsi="Arial" w:cs="Arial"/>
        </w:rPr>
        <w:t xml:space="preserve"> para la sociedad civil a lo largo del tiempo y en relación con los seis principios dentro de</w:t>
      </w:r>
      <w:r w:rsidR="009B0F1D" w:rsidRPr="009B0F1D">
        <w:rPr>
          <w:rFonts w:ascii="Arial" w:hAnsi="Arial" w:cs="Arial"/>
        </w:rPr>
        <w:t xml:space="preserve"> cada</w:t>
      </w:r>
      <w:r w:rsidRPr="009B0F1D">
        <w:rPr>
          <w:rFonts w:ascii="Arial" w:hAnsi="Arial" w:cs="Arial"/>
        </w:rPr>
        <w:t xml:space="preserve"> país.</w:t>
      </w:r>
    </w:p>
    <w:p w14:paraId="07149E78" w14:textId="77777777" w:rsidR="00201B2A" w:rsidRPr="009B0F1D" w:rsidRDefault="00201B2A" w:rsidP="005565EF">
      <w:pPr>
        <w:pStyle w:val="Heading2"/>
        <w:spacing w:before="0" w:after="120" w:line="276" w:lineRule="auto"/>
        <w:jc w:val="both"/>
      </w:pPr>
      <w:bookmarkStart w:id="0" w:name="_Toc193301979"/>
      <w:r w:rsidRPr="009B0F1D">
        <w:t>PLANIFICACIÓN DE LA EVALUACIÓN</w:t>
      </w:r>
      <w:bookmarkEnd w:id="0"/>
    </w:p>
    <w:p w14:paraId="3D101751" w14:textId="77777777" w:rsidR="00201B2A" w:rsidRPr="009B0F1D" w:rsidRDefault="00201B2A" w:rsidP="005565EF">
      <w:pPr>
        <w:spacing w:after="120" w:line="276" w:lineRule="auto"/>
        <w:jc w:val="both"/>
        <w:rPr>
          <w:rFonts w:ascii="Arial" w:hAnsi="Arial" w:cs="Arial"/>
          <w:b/>
          <w:bCs/>
        </w:rPr>
      </w:pPr>
      <w:r w:rsidRPr="009B0F1D">
        <w:rPr>
          <w:rFonts w:ascii="Arial" w:hAnsi="Arial" w:cs="Arial"/>
          <w:b/>
          <w:bCs/>
        </w:rPr>
        <w:t>A. COMPRENDER LOS MATERIALES DE EVALUACIÓN Y EL CICLO DE INVESTIGACIÓN</w:t>
      </w:r>
    </w:p>
    <w:p w14:paraId="2D5B6155" w14:textId="4AC45C90" w:rsidR="00201B2A" w:rsidRPr="009B0F1D" w:rsidRDefault="00201B2A" w:rsidP="005565EF">
      <w:pPr>
        <w:spacing w:after="120" w:line="276" w:lineRule="auto"/>
        <w:jc w:val="both"/>
        <w:rPr>
          <w:rFonts w:ascii="Arial" w:hAnsi="Arial" w:cs="Arial"/>
        </w:rPr>
      </w:pPr>
      <w:r w:rsidRPr="009B0F1D">
        <w:rPr>
          <w:rFonts w:ascii="Arial" w:hAnsi="Arial" w:cs="Arial"/>
        </w:rPr>
        <w:t xml:space="preserve">El primer paso para realizar una evaluación exitosa es que los </w:t>
      </w:r>
      <w:r w:rsidR="009B0F1D" w:rsidRPr="009B0F1D">
        <w:rPr>
          <w:rFonts w:ascii="Arial" w:hAnsi="Arial" w:cs="Arial"/>
        </w:rPr>
        <w:t>MR</w:t>
      </w:r>
      <w:r w:rsidRPr="009B0F1D">
        <w:rPr>
          <w:rFonts w:ascii="Arial" w:hAnsi="Arial" w:cs="Arial"/>
        </w:rPr>
        <w:t xml:space="preserve"> se familiaricen a fondo con la metodología de los IEP, las directrices del panel y el ciclo de investigación</w:t>
      </w:r>
      <w:r w:rsidR="002D4F79" w:rsidRPr="009B0F1D">
        <w:rPr>
          <w:rFonts w:ascii="Arial" w:hAnsi="Arial" w:cs="Arial"/>
        </w:rPr>
        <w:t xml:space="preserve"> completo</w:t>
      </w:r>
      <w:r w:rsidRPr="009B0F1D">
        <w:rPr>
          <w:rFonts w:ascii="Arial" w:hAnsi="Arial" w:cs="Arial"/>
        </w:rPr>
        <w:t>.</w:t>
      </w:r>
    </w:p>
    <w:p w14:paraId="25B1CABA" w14:textId="0EB8103A" w:rsidR="00201B2A" w:rsidRPr="009B0F1D" w:rsidRDefault="00201B2A" w:rsidP="005565EF">
      <w:pPr>
        <w:spacing w:after="120" w:line="276" w:lineRule="auto"/>
        <w:jc w:val="both"/>
        <w:rPr>
          <w:rFonts w:ascii="Arial" w:hAnsi="Arial" w:cs="Arial"/>
        </w:rPr>
      </w:pPr>
      <w:r w:rsidRPr="009B0F1D">
        <w:rPr>
          <w:rFonts w:ascii="Arial" w:hAnsi="Arial" w:cs="Arial"/>
        </w:rPr>
        <w:t xml:space="preserve">Se recomienda encarecidamente que los </w:t>
      </w:r>
      <w:r w:rsidR="009B0F1D" w:rsidRPr="009B0F1D">
        <w:rPr>
          <w:rFonts w:ascii="Arial" w:hAnsi="Arial" w:cs="Arial"/>
        </w:rPr>
        <w:t>MR</w:t>
      </w:r>
      <w:r w:rsidR="002D4F79" w:rsidRPr="009B0F1D">
        <w:rPr>
          <w:rFonts w:ascii="Arial" w:hAnsi="Arial" w:cs="Arial"/>
        </w:rPr>
        <w:t xml:space="preserve"> </w:t>
      </w:r>
      <w:r w:rsidRPr="009B0F1D">
        <w:rPr>
          <w:rFonts w:ascii="Arial" w:hAnsi="Arial" w:cs="Arial"/>
        </w:rPr>
        <w:t>dediquen tiempo a revisar los materiales de evaluación y que se comuniquen con sus Facilitadores de Red</w:t>
      </w:r>
      <w:r w:rsidR="009B0F1D" w:rsidRPr="009B0F1D">
        <w:rPr>
          <w:rFonts w:ascii="Arial" w:hAnsi="Arial" w:cs="Arial"/>
        </w:rPr>
        <w:t xml:space="preserve"> (FR)</w:t>
      </w:r>
      <w:r w:rsidRPr="009B0F1D">
        <w:rPr>
          <w:rFonts w:ascii="Arial" w:hAnsi="Arial" w:cs="Arial"/>
        </w:rPr>
        <w:t xml:space="preserve"> si tienen alguna pregunta o inquietud.</w:t>
      </w:r>
    </w:p>
    <w:p w14:paraId="30BB1B09" w14:textId="77777777" w:rsidR="00201B2A" w:rsidRPr="009B0F1D" w:rsidRDefault="00201B2A" w:rsidP="00EC3C5F">
      <w:pPr>
        <w:spacing w:after="120" w:line="276" w:lineRule="auto"/>
        <w:rPr>
          <w:rFonts w:ascii="Arial" w:hAnsi="Arial" w:cs="Arial"/>
          <w:b/>
          <w:bCs/>
        </w:rPr>
      </w:pPr>
      <w:r w:rsidRPr="009B0F1D">
        <w:rPr>
          <w:rFonts w:ascii="Arial" w:hAnsi="Arial" w:cs="Arial"/>
          <w:b/>
          <w:bCs/>
        </w:rPr>
        <w:t>Ciclo de investigación de los IEP:</w:t>
      </w:r>
    </w:p>
    <w:p w14:paraId="0742EC87" w14:textId="2D789CE2" w:rsidR="002D4F79" w:rsidRPr="009B0F1D" w:rsidRDefault="002D4F79" w:rsidP="00EC3C5F">
      <w:pPr>
        <w:spacing w:after="120" w:line="276" w:lineRule="auto"/>
        <w:rPr>
          <w:rFonts w:ascii="Arial" w:hAnsi="Arial" w:cs="Arial"/>
        </w:rPr>
      </w:pPr>
      <w:r w:rsidRPr="009B0F1D">
        <w:rPr>
          <w:rFonts w:ascii="Arial" w:hAnsi="Arial" w:cs="Arial"/>
          <w:noProof/>
          <w:shd w:val="clear" w:color="auto" w:fill="FFFFFF" w:themeFill="background1"/>
        </w:rPr>
        <w:lastRenderedPageBreak/>
        <w:drawing>
          <wp:inline distT="0" distB="0" distL="0" distR="0" wp14:anchorId="07275988" wp14:editId="0FD11714">
            <wp:extent cx="5353050" cy="5257800"/>
            <wp:effectExtent l="0" t="0" r="666750" b="0"/>
            <wp:docPr id="72649372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17B42EA" w14:textId="77777777" w:rsidR="00201B2A" w:rsidRPr="009B0F1D" w:rsidRDefault="00201B2A" w:rsidP="00EC3C5F">
      <w:pPr>
        <w:spacing w:after="120" w:line="276" w:lineRule="auto"/>
        <w:rPr>
          <w:rFonts w:ascii="Arial" w:hAnsi="Arial" w:cs="Arial"/>
        </w:rPr>
      </w:pPr>
    </w:p>
    <w:p w14:paraId="6B864192" w14:textId="77777777" w:rsidR="00E503E1" w:rsidRDefault="006905BE" w:rsidP="00E503E1">
      <w:pPr>
        <w:spacing w:after="120" w:line="276" w:lineRule="auto"/>
        <w:rPr>
          <w:rFonts w:ascii="Arial" w:hAnsi="Arial" w:cs="Arial"/>
          <w:b/>
          <w:bCs/>
        </w:rPr>
      </w:pPr>
      <w:r w:rsidRPr="009B0F1D">
        <w:rPr>
          <w:rFonts w:ascii="Arial" w:hAnsi="Arial" w:cs="Arial"/>
          <w:b/>
          <w:bCs/>
        </w:rPr>
        <w:t>B. MAPEAR EL PANEL DE EXPERTOS</w:t>
      </w:r>
    </w:p>
    <w:p w14:paraId="7C08DA1B" w14:textId="329DD1CC" w:rsidR="006905BE" w:rsidRPr="009B0F1D" w:rsidRDefault="006905BE" w:rsidP="00E503E1">
      <w:pPr>
        <w:spacing w:after="120" w:line="276" w:lineRule="auto"/>
        <w:jc w:val="both"/>
        <w:rPr>
          <w:rFonts w:ascii="Arial" w:hAnsi="Arial" w:cs="Arial"/>
        </w:rPr>
      </w:pPr>
      <w:r w:rsidRPr="009B0F1D">
        <w:rPr>
          <w:rFonts w:ascii="Arial" w:hAnsi="Arial" w:cs="Arial"/>
        </w:rPr>
        <w:br/>
        <w:t xml:space="preserve">Una vez que haya una comprensión clara de la evaluación, los investigadores de </w:t>
      </w:r>
      <w:r w:rsidR="00FD6BEF" w:rsidRPr="009B0F1D">
        <w:rPr>
          <w:rFonts w:ascii="Arial" w:hAnsi="Arial" w:cs="Arial"/>
        </w:rPr>
        <w:t xml:space="preserve">los </w:t>
      </w:r>
      <w:r w:rsidR="009B0F1D">
        <w:rPr>
          <w:rFonts w:ascii="Arial" w:hAnsi="Arial" w:cs="Arial"/>
        </w:rPr>
        <w:t>MR</w:t>
      </w:r>
      <w:r w:rsidRPr="009B0F1D">
        <w:rPr>
          <w:rFonts w:ascii="Arial" w:hAnsi="Arial" w:cs="Arial"/>
        </w:rPr>
        <w:t xml:space="preserve"> deben identificar y mapear a los expertos clave en el país que puedan proporcionar información valiosa sobre el </w:t>
      </w:r>
      <w:r w:rsidR="006875D1" w:rsidRPr="009B0F1D">
        <w:rPr>
          <w:rFonts w:ascii="Arial" w:hAnsi="Arial" w:cs="Arial"/>
        </w:rPr>
        <w:t>ambiente</w:t>
      </w:r>
      <w:r w:rsidRPr="009B0F1D">
        <w:rPr>
          <w:rFonts w:ascii="Arial" w:hAnsi="Arial" w:cs="Arial"/>
        </w:rPr>
        <w:t xml:space="preserve"> en el que la sociedad civil opera en el país. El panel convocado debe estar compuesto por aproximadamente 10-15 expertos, que deben incluir:</w:t>
      </w:r>
    </w:p>
    <w:p w14:paraId="6EB3EC82" w14:textId="77777777" w:rsidR="006905BE" w:rsidRPr="009B0F1D" w:rsidRDefault="006905BE" w:rsidP="005565EF">
      <w:pPr>
        <w:pStyle w:val="ListParagraph"/>
        <w:numPr>
          <w:ilvl w:val="0"/>
          <w:numId w:val="2"/>
        </w:numPr>
        <w:spacing w:after="120" w:line="276" w:lineRule="auto"/>
        <w:ind w:left="0"/>
        <w:jc w:val="both"/>
        <w:rPr>
          <w:rFonts w:ascii="Arial" w:hAnsi="Arial" w:cs="Arial"/>
        </w:rPr>
      </w:pPr>
      <w:r w:rsidRPr="009B0F1D">
        <w:rPr>
          <w:rFonts w:ascii="Arial" w:hAnsi="Arial" w:cs="Arial"/>
        </w:rPr>
        <w:t>Representantes de organizaciones de la sociedad civil (OSC), asociaciones relevantes (por ejemplo, cooperativas, asociaciones de abogados) y movimientos sociales</w:t>
      </w:r>
    </w:p>
    <w:p w14:paraId="58AE92E1" w14:textId="77777777" w:rsidR="006905BE" w:rsidRPr="009B0F1D" w:rsidRDefault="006905BE" w:rsidP="005565EF">
      <w:pPr>
        <w:pStyle w:val="ListParagraph"/>
        <w:numPr>
          <w:ilvl w:val="0"/>
          <w:numId w:val="2"/>
        </w:numPr>
        <w:spacing w:after="120" w:line="276" w:lineRule="auto"/>
        <w:ind w:left="0"/>
        <w:jc w:val="both"/>
        <w:rPr>
          <w:rFonts w:ascii="Arial" w:hAnsi="Arial" w:cs="Arial"/>
        </w:rPr>
      </w:pPr>
      <w:r w:rsidRPr="009B0F1D">
        <w:rPr>
          <w:rFonts w:ascii="Arial" w:hAnsi="Arial" w:cs="Arial"/>
        </w:rPr>
        <w:t xml:space="preserve">Expertos en la sociedad civil que trabajen en el ámbito académico, </w:t>
      </w:r>
      <w:proofErr w:type="spellStart"/>
      <w:r w:rsidRPr="009B0F1D">
        <w:rPr>
          <w:rFonts w:ascii="Arial" w:hAnsi="Arial" w:cs="Arial"/>
          <w:i/>
          <w:iCs/>
        </w:rPr>
        <w:t>think</w:t>
      </w:r>
      <w:proofErr w:type="spellEnd"/>
      <w:r w:rsidRPr="009B0F1D">
        <w:rPr>
          <w:rFonts w:ascii="Arial" w:hAnsi="Arial" w:cs="Arial"/>
          <w:i/>
          <w:iCs/>
        </w:rPr>
        <w:t xml:space="preserve"> </w:t>
      </w:r>
      <w:proofErr w:type="spellStart"/>
      <w:r w:rsidRPr="009B0F1D">
        <w:rPr>
          <w:rFonts w:ascii="Arial" w:hAnsi="Arial" w:cs="Arial"/>
          <w:i/>
          <w:iCs/>
        </w:rPr>
        <w:t>tanks</w:t>
      </w:r>
      <w:proofErr w:type="spellEnd"/>
      <w:r w:rsidRPr="009B0F1D">
        <w:rPr>
          <w:rFonts w:ascii="Arial" w:hAnsi="Arial" w:cs="Arial"/>
        </w:rPr>
        <w:t xml:space="preserve"> o instituciones similares</w:t>
      </w:r>
    </w:p>
    <w:p w14:paraId="6B7199F8" w14:textId="77777777" w:rsidR="006905BE" w:rsidRPr="009B0F1D" w:rsidRDefault="006905BE" w:rsidP="005565EF">
      <w:pPr>
        <w:pStyle w:val="ListParagraph"/>
        <w:numPr>
          <w:ilvl w:val="0"/>
          <w:numId w:val="2"/>
        </w:numPr>
        <w:spacing w:after="120" w:line="276" w:lineRule="auto"/>
        <w:ind w:left="0"/>
        <w:jc w:val="both"/>
        <w:rPr>
          <w:rFonts w:ascii="Arial" w:hAnsi="Arial" w:cs="Arial"/>
        </w:rPr>
      </w:pPr>
      <w:r w:rsidRPr="009B0F1D">
        <w:rPr>
          <w:rFonts w:ascii="Arial" w:hAnsi="Arial" w:cs="Arial"/>
        </w:rPr>
        <w:t>Centros de apoyo a OSC, centros de recursos u organizaciones de apoyo intermediarias</w:t>
      </w:r>
    </w:p>
    <w:p w14:paraId="0A0C1AD2" w14:textId="77777777" w:rsidR="006905BE" w:rsidRPr="009B0F1D" w:rsidRDefault="006905BE" w:rsidP="005565EF">
      <w:pPr>
        <w:pStyle w:val="ListParagraph"/>
        <w:numPr>
          <w:ilvl w:val="0"/>
          <w:numId w:val="2"/>
        </w:numPr>
        <w:spacing w:after="120" w:line="276" w:lineRule="auto"/>
        <w:ind w:left="0"/>
        <w:jc w:val="both"/>
        <w:rPr>
          <w:rFonts w:ascii="Arial" w:hAnsi="Arial" w:cs="Arial"/>
        </w:rPr>
      </w:pPr>
      <w:r w:rsidRPr="009B0F1D">
        <w:rPr>
          <w:rFonts w:ascii="Arial" w:hAnsi="Arial" w:cs="Arial"/>
        </w:rPr>
        <w:t>Socios de OSC del gobierno, empresas o medios de comunicación (si es posible)</w:t>
      </w:r>
    </w:p>
    <w:p w14:paraId="0F5B0AAF" w14:textId="542AD3CC" w:rsidR="006905BE" w:rsidRPr="009B0F1D" w:rsidRDefault="006905BE" w:rsidP="005565EF">
      <w:pPr>
        <w:pStyle w:val="ListParagraph"/>
        <w:numPr>
          <w:ilvl w:val="0"/>
          <w:numId w:val="2"/>
        </w:numPr>
        <w:spacing w:after="120" w:line="276" w:lineRule="auto"/>
        <w:ind w:left="0"/>
        <w:jc w:val="both"/>
        <w:rPr>
          <w:rFonts w:ascii="Arial" w:hAnsi="Arial" w:cs="Arial"/>
        </w:rPr>
      </w:pPr>
      <w:r w:rsidRPr="009B0F1D">
        <w:rPr>
          <w:rFonts w:ascii="Arial" w:hAnsi="Arial" w:cs="Arial"/>
        </w:rPr>
        <w:t>Representantes de donantes que apoyan a la sociedad civil (si es posible)</w:t>
      </w:r>
    </w:p>
    <w:p w14:paraId="32B58E27" w14:textId="29735B89" w:rsidR="006905BE" w:rsidRPr="009B0F1D" w:rsidRDefault="006905BE" w:rsidP="005565EF">
      <w:pPr>
        <w:spacing w:after="120" w:line="276" w:lineRule="auto"/>
        <w:jc w:val="both"/>
        <w:rPr>
          <w:rFonts w:ascii="Arial" w:hAnsi="Arial" w:cs="Arial"/>
        </w:rPr>
      </w:pPr>
      <w:r w:rsidRPr="009B0F1D">
        <w:rPr>
          <w:rFonts w:ascii="Arial" w:hAnsi="Arial" w:cs="Arial"/>
        </w:rPr>
        <w:t xml:space="preserve">Es crucial seleccionar una muestra equilibrada y representativa de los grupos de interés de estos </w:t>
      </w:r>
      <w:r w:rsidR="00D95F36" w:rsidRPr="009B0F1D">
        <w:rPr>
          <w:rFonts w:ascii="Arial" w:hAnsi="Arial" w:cs="Arial"/>
        </w:rPr>
        <w:t>grupos</w:t>
      </w:r>
      <w:r w:rsidRPr="009B0F1D">
        <w:rPr>
          <w:rFonts w:ascii="Arial" w:hAnsi="Arial" w:cs="Arial"/>
        </w:rPr>
        <w:t xml:space="preserve">, incluyendo representación geográfica y de género, como una forma de </w:t>
      </w:r>
      <w:r w:rsidRPr="009B0F1D">
        <w:rPr>
          <w:rFonts w:ascii="Arial" w:hAnsi="Arial" w:cs="Arial"/>
        </w:rPr>
        <w:lastRenderedPageBreak/>
        <w:t xml:space="preserve">asegurar diversas perspectivas sobre el </w:t>
      </w:r>
      <w:r w:rsidR="00342377" w:rsidRPr="009B0F1D">
        <w:rPr>
          <w:rFonts w:ascii="Arial" w:hAnsi="Arial" w:cs="Arial"/>
        </w:rPr>
        <w:t>ambiente habilitante</w:t>
      </w:r>
      <w:r w:rsidRPr="009B0F1D">
        <w:rPr>
          <w:rFonts w:ascii="Arial" w:hAnsi="Arial" w:cs="Arial"/>
        </w:rPr>
        <w:t xml:space="preserve"> en el panel. Los socios nacionales deben esforzarse por incluir a mujeres, personas LGBTQ+, grupos raciales, religiosos y otras minorías en el panel. Se fomenta fuertemente la diversidad temática; el panel debe incluir expertos en los seis principios del </w:t>
      </w:r>
      <w:r w:rsidR="00342377" w:rsidRPr="009B0F1D">
        <w:rPr>
          <w:rFonts w:ascii="Arial" w:hAnsi="Arial" w:cs="Arial"/>
        </w:rPr>
        <w:t>ambiente habilitante</w:t>
      </w:r>
      <w:r w:rsidRPr="009B0F1D">
        <w:rPr>
          <w:rFonts w:ascii="Arial" w:hAnsi="Arial" w:cs="Arial"/>
        </w:rPr>
        <w:t xml:space="preserve"> para la sociedad civil. Consulte las pautas para garantizar la diversidad del panel más abajo.</w:t>
      </w:r>
    </w:p>
    <w:p w14:paraId="7A1B38F1" w14:textId="3E9DCB64" w:rsidR="006905BE" w:rsidRPr="009B0F1D" w:rsidRDefault="006905BE" w:rsidP="005565EF">
      <w:pPr>
        <w:spacing w:after="120" w:line="276" w:lineRule="auto"/>
        <w:jc w:val="both"/>
        <w:rPr>
          <w:rFonts w:ascii="Arial" w:hAnsi="Arial" w:cs="Arial"/>
        </w:rPr>
      </w:pPr>
      <w:r w:rsidRPr="009B0F1D">
        <w:rPr>
          <w:rFonts w:ascii="Arial" w:hAnsi="Arial" w:cs="Arial"/>
        </w:rPr>
        <w:t>Una vez que los expertos hayan sido identificados y seleccionados, se pedirá a cada</w:t>
      </w:r>
      <w:r w:rsidR="00342377" w:rsidRPr="009B0F1D">
        <w:rPr>
          <w:rFonts w:ascii="Arial" w:hAnsi="Arial" w:cs="Arial"/>
        </w:rPr>
        <w:t xml:space="preserve"> </w:t>
      </w:r>
      <w:r w:rsidR="009B0F1D">
        <w:rPr>
          <w:rFonts w:ascii="Arial" w:hAnsi="Arial" w:cs="Arial"/>
        </w:rPr>
        <w:t>MR</w:t>
      </w:r>
      <w:r w:rsidR="00342377" w:rsidRPr="009B0F1D">
        <w:rPr>
          <w:rFonts w:ascii="Arial" w:hAnsi="Arial" w:cs="Arial"/>
        </w:rPr>
        <w:t xml:space="preserve"> </w:t>
      </w:r>
      <w:r w:rsidRPr="009B0F1D">
        <w:rPr>
          <w:rFonts w:ascii="Arial" w:hAnsi="Arial" w:cs="Arial"/>
        </w:rPr>
        <w:t>que envíe una lista de los panelistas propuestos, con sus nombres y cargos. Una vez aprobada por el consorcio, los</w:t>
      </w:r>
      <w:r w:rsidR="00342377" w:rsidRPr="009B0F1D">
        <w:rPr>
          <w:rFonts w:ascii="Arial" w:hAnsi="Arial" w:cs="Arial"/>
        </w:rPr>
        <w:t xml:space="preserve"> </w:t>
      </w:r>
      <w:r w:rsidR="009B0F1D">
        <w:rPr>
          <w:rFonts w:ascii="Arial" w:hAnsi="Arial" w:cs="Arial"/>
        </w:rPr>
        <w:t>MR</w:t>
      </w:r>
      <w:r w:rsidR="009B0F1D" w:rsidRPr="009B0F1D">
        <w:rPr>
          <w:rFonts w:ascii="Arial" w:hAnsi="Arial" w:cs="Arial"/>
        </w:rPr>
        <w:t xml:space="preserve"> </w:t>
      </w:r>
      <w:r w:rsidRPr="009B0F1D">
        <w:rPr>
          <w:rFonts w:ascii="Arial" w:hAnsi="Arial" w:cs="Arial"/>
        </w:rPr>
        <w:t>deben contactar a los panelistas propuestos para asegurar su participación y compartir más información (ver el Anexo 2, Instrucciones para los Miembros del Panel de Expertos). Los</w:t>
      </w:r>
      <w:r w:rsidR="00342377" w:rsidRPr="009B0F1D">
        <w:rPr>
          <w:rFonts w:ascii="Arial" w:hAnsi="Arial" w:cs="Arial"/>
        </w:rPr>
        <w:t xml:space="preserve"> </w:t>
      </w:r>
      <w:r w:rsidR="009B0F1D" w:rsidRPr="009B0F1D">
        <w:rPr>
          <w:rFonts w:ascii="Arial" w:hAnsi="Arial" w:cs="Arial"/>
        </w:rPr>
        <w:t xml:space="preserve">MR </w:t>
      </w:r>
      <w:r w:rsidRPr="009B0F1D">
        <w:rPr>
          <w:rFonts w:ascii="Arial" w:hAnsi="Arial" w:cs="Arial"/>
        </w:rPr>
        <w:t>deben asegurarse de que los expertos estén completamente informados sobre el propósito general de la evaluación, las fechas del panel y por qué su aportación es importante. Los expertos deben tener suficiente información para prepararse para su participación. Se recomienda compartir las preguntas orientadoras con el panel con antelación.</w:t>
      </w:r>
    </w:p>
    <w:p w14:paraId="76C06BDC" w14:textId="77777777" w:rsidR="002C3E43" w:rsidRPr="009B0F1D" w:rsidRDefault="002C3E43" w:rsidP="005565EF">
      <w:pPr>
        <w:spacing w:after="120" w:line="276" w:lineRule="auto"/>
        <w:jc w:val="both"/>
        <w:rPr>
          <w:rFonts w:ascii="Arial" w:hAnsi="Arial" w:cs="Arial"/>
          <w:b/>
          <w:bCs/>
        </w:rPr>
      </w:pPr>
      <w:r w:rsidRPr="009B0F1D">
        <w:rPr>
          <w:rFonts w:ascii="Arial" w:hAnsi="Arial" w:cs="Arial"/>
          <w:b/>
          <w:bCs/>
        </w:rPr>
        <w:t>Cómo garantizar</w:t>
      </w:r>
      <w:r w:rsidR="006905BE" w:rsidRPr="009B0F1D">
        <w:rPr>
          <w:rFonts w:ascii="Arial" w:hAnsi="Arial" w:cs="Arial"/>
          <w:b/>
          <w:bCs/>
        </w:rPr>
        <w:t xml:space="preserve"> la diversidad del panel</w:t>
      </w:r>
    </w:p>
    <w:p w14:paraId="209D9B10" w14:textId="4E1B3FE4" w:rsidR="002C3E43" w:rsidRPr="009B0F1D" w:rsidRDefault="006905BE" w:rsidP="005565EF">
      <w:pPr>
        <w:spacing w:after="120" w:line="276" w:lineRule="auto"/>
        <w:jc w:val="both"/>
        <w:rPr>
          <w:rFonts w:ascii="Arial" w:hAnsi="Arial" w:cs="Arial"/>
        </w:rPr>
      </w:pPr>
      <w:r w:rsidRPr="009B0F1D">
        <w:rPr>
          <w:rFonts w:ascii="Arial" w:hAnsi="Arial" w:cs="Arial"/>
        </w:rPr>
        <w:t xml:space="preserve">Para evaluar de manera integral los diversos aspectos del </w:t>
      </w:r>
      <w:r w:rsidR="00342377" w:rsidRPr="009B0F1D">
        <w:rPr>
          <w:rFonts w:ascii="Arial" w:hAnsi="Arial" w:cs="Arial"/>
        </w:rPr>
        <w:t>ambiente habilitante</w:t>
      </w:r>
      <w:r w:rsidRPr="009B0F1D">
        <w:rPr>
          <w:rFonts w:ascii="Arial" w:hAnsi="Arial" w:cs="Arial"/>
        </w:rPr>
        <w:t xml:space="preserve"> en todo </w:t>
      </w:r>
      <w:r w:rsidR="009B0F1D">
        <w:rPr>
          <w:rFonts w:ascii="Arial" w:hAnsi="Arial" w:cs="Arial"/>
        </w:rPr>
        <w:t>el</w:t>
      </w:r>
      <w:r w:rsidRPr="009B0F1D">
        <w:rPr>
          <w:rFonts w:ascii="Arial" w:hAnsi="Arial" w:cs="Arial"/>
        </w:rPr>
        <w:t xml:space="preserve"> país, es importante que la composición del panel sea lo suficientemente representativa de las perspectivas de una muestra de diferentes sectores y áreas del país. Por lo tanto, los miembros del panel deben ser seleccionados estratégicamente teniendo en cuenta la diversidad, de modo que se logre la mayor amplitud posible entre este grupo relativamente pequeño de individuos.</w:t>
      </w:r>
    </w:p>
    <w:p w14:paraId="01648066" w14:textId="0CDBD781" w:rsidR="006905BE" w:rsidRPr="009B0F1D" w:rsidRDefault="006905BE" w:rsidP="005565EF">
      <w:pPr>
        <w:spacing w:after="120" w:line="276" w:lineRule="auto"/>
        <w:jc w:val="both"/>
        <w:rPr>
          <w:rFonts w:ascii="Arial" w:hAnsi="Arial" w:cs="Arial"/>
        </w:rPr>
      </w:pPr>
      <w:r w:rsidRPr="009B0F1D">
        <w:rPr>
          <w:rFonts w:ascii="Arial" w:hAnsi="Arial" w:cs="Arial"/>
        </w:rPr>
        <w:t>Con este fin, el formulario de Lista de Panelistas Propuestos (Anexo 1) contiene un campo obligatorio para que el</w:t>
      </w:r>
      <w:r w:rsidR="00342377" w:rsidRPr="009B0F1D">
        <w:rPr>
          <w:rFonts w:ascii="Arial" w:hAnsi="Arial" w:cs="Arial"/>
        </w:rPr>
        <w:t xml:space="preserve"> </w:t>
      </w:r>
      <w:r w:rsidR="009B0F1D">
        <w:rPr>
          <w:rFonts w:ascii="Arial" w:hAnsi="Arial" w:cs="Arial"/>
        </w:rPr>
        <w:t>MR</w:t>
      </w:r>
      <w:r w:rsidR="009B0F1D" w:rsidRPr="009B0F1D">
        <w:rPr>
          <w:rFonts w:ascii="Arial" w:hAnsi="Arial" w:cs="Arial"/>
        </w:rPr>
        <w:t xml:space="preserve"> </w:t>
      </w:r>
      <w:r w:rsidRPr="009B0F1D">
        <w:rPr>
          <w:rFonts w:ascii="Arial" w:hAnsi="Arial" w:cs="Arial"/>
        </w:rPr>
        <w:t>lo complete, describiendo qué consideraciones de diversidad se utilizaron para completar esta lista de 10-15 individuos. En la medida de lo posible, el panel debe incluir una representación equitativa de hombres y mujeres, representación de partes urbanas y rurales del país, representantes tanto de organizaciones de defensa como de organizaciones que brindan servicios, y diversos subsectores dentro de la sociedad civil, como los derechos de las mujeres, el desarrollo comunitario, la educación cívica, las microfinanzas, los problemas ambientales, los derechos humanos y la juventud. También deben tomarse en cuenta otras consideraciones demográficas, como la inclusión de perspectivas de minorías étnicas, lingüísticas o religiosas, cuando sea pertinente. Si bien las personas con una experiencia altamente especializada pueden y deben ser consultadas por separado para obtener sus perspectivas, los individuos seleccionados como panelistas expertos para calificar las dimensiones se beneficiarán de tener una visión relativamente amplia del sector y un área de experiencia relativamente amplia.</w:t>
      </w:r>
    </w:p>
    <w:p w14:paraId="5BF01761" w14:textId="77777777" w:rsidR="002C3E43" w:rsidRPr="009B0F1D" w:rsidRDefault="002C3E43" w:rsidP="005565EF">
      <w:pPr>
        <w:spacing w:after="120" w:line="276" w:lineRule="auto"/>
        <w:jc w:val="both"/>
        <w:rPr>
          <w:rFonts w:ascii="Arial" w:hAnsi="Arial" w:cs="Arial"/>
        </w:rPr>
      </w:pPr>
      <w:r w:rsidRPr="009B0F1D">
        <w:rPr>
          <w:rFonts w:ascii="Arial" w:hAnsi="Arial" w:cs="Arial"/>
        </w:rPr>
        <w:t>Se entiende que las limitaciones de tiempo y presupuesto pueden afectar el grado de representación plena que se pueda lograr. Sin embargo, el consorcio solo aprobará la lista de panelistas si se cumplen los siguientes requisitos mínimos de diversidad:</w:t>
      </w:r>
    </w:p>
    <w:p w14:paraId="24BDBC0E" w14:textId="77777777" w:rsidR="002C3E43" w:rsidRPr="009B0F1D" w:rsidRDefault="002C3E43" w:rsidP="005565EF">
      <w:pPr>
        <w:numPr>
          <w:ilvl w:val="0"/>
          <w:numId w:val="3"/>
        </w:numPr>
        <w:spacing w:after="120" w:line="276" w:lineRule="auto"/>
        <w:jc w:val="both"/>
        <w:rPr>
          <w:rFonts w:ascii="Arial" w:hAnsi="Arial" w:cs="Arial"/>
        </w:rPr>
      </w:pPr>
      <w:r w:rsidRPr="009B0F1D">
        <w:rPr>
          <w:rFonts w:ascii="Arial" w:hAnsi="Arial" w:cs="Arial"/>
        </w:rPr>
        <w:t>Al menos el 30 % de los panelistas deben ser mujeres.</w:t>
      </w:r>
    </w:p>
    <w:p w14:paraId="1DE43A6F" w14:textId="77777777" w:rsidR="002C3E43" w:rsidRPr="009B0F1D" w:rsidRDefault="002C3E43" w:rsidP="005565EF">
      <w:pPr>
        <w:numPr>
          <w:ilvl w:val="0"/>
          <w:numId w:val="3"/>
        </w:numPr>
        <w:spacing w:after="120" w:line="276" w:lineRule="auto"/>
        <w:jc w:val="both"/>
        <w:rPr>
          <w:rFonts w:ascii="Arial" w:hAnsi="Arial" w:cs="Arial"/>
        </w:rPr>
      </w:pPr>
      <w:r w:rsidRPr="009B0F1D">
        <w:rPr>
          <w:rFonts w:ascii="Arial" w:hAnsi="Arial" w:cs="Arial"/>
        </w:rPr>
        <w:t>Al menos el 20 % de los panelistas deben provenir de fuera de la capital y/o de la ciudad más grande.</w:t>
      </w:r>
    </w:p>
    <w:p w14:paraId="57A26387" w14:textId="77777777" w:rsidR="002C3E43" w:rsidRPr="009B0F1D" w:rsidRDefault="002C3E43" w:rsidP="005565EF">
      <w:pPr>
        <w:numPr>
          <w:ilvl w:val="0"/>
          <w:numId w:val="3"/>
        </w:numPr>
        <w:spacing w:after="120" w:line="276" w:lineRule="auto"/>
        <w:jc w:val="both"/>
        <w:rPr>
          <w:rFonts w:ascii="Arial" w:hAnsi="Arial" w:cs="Arial"/>
        </w:rPr>
      </w:pPr>
      <w:r w:rsidRPr="009B0F1D">
        <w:rPr>
          <w:rFonts w:ascii="Arial" w:hAnsi="Arial" w:cs="Arial"/>
        </w:rPr>
        <w:t>Al menos 1 panelista debe ser un académico o investigador cuyo enfoque incluya el ambiente habilitante para la sociedad civil.</w:t>
      </w:r>
    </w:p>
    <w:p w14:paraId="0BD11C85" w14:textId="77777777" w:rsidR="002C3E43" w:rsidRPr="009B0F1D" w:rsidRDefault="002C3E43" w:rsidP="005565EF">
      <w:pPr>
        <w:numPr>
          <w:ilvl w:val="0"/>
          <w:numId w:val="3"/>
        </w:numPr>
        <w:spacing w:after="120" w:line="276" w:lineRule="auto"/>
        <w:jc w:val="both"/>
        <w:rPr>
          <w:rFonts w:ascii="Arial" w:hAnsi="Arial" w:cs="Arial"/>
        </w:rPr>
      </w:pPr>
      <w:r w:rsidRPr="009B0F1D">
        <w:rPr>
          <w:rFonts w:ascii="Arial" w:hAnsi="Arial" w:cs="Arial"/>
        </w:rPr>
        <w:lastRenderedPageBreak/>
        <w:t>Para cada uno de los seis principios, al menos 1 panelista debe tener experiencia principal en ese principio.</w:t>
      </w:r>
    </w:p>
    <w:p w14:paraId="703FD20F" w14:textId="77777777" w:rsidR="002C3E43" w:rsidRPr="009B0F1D" w:rsidRDefault="002C3E43" w:rsidP="005565EF">
      <w:pPr>
        <w:spacing w:after="120" w:line="276" w:lineRule="auto"/>
        <w:jc w:val="both"/>
        <w:rPr>
          <w:rFonts w:ascii="Arial" w:hAnsi="Arial" w:cs="Arial"/>
        </w:rPr>
      </w:pPr>
      <w:r w:rsidRPr="009B0F1D">
        <w:rPr>
          <w:rFonts w:ascii="Arial" w:hAnsi="Arial" w:cs="Arial"/>
        </w:rPr>
        <w:t>También se recomienda como buena práctica agregar y contactar a algunos panelistas "de reserva" en caso de que un panelista experto necesite cancelar su participación.</w:t>
      </w:r>
    </w:p>
    <w:p w14:paraId="5B6A8F0C" w14:textId="1A04144D" w:rsidR="002C3E43" w:rsidRPr="009B0F1D" w:rsidRDefault="002C3E43" w:rsidP="005565EF">
      <w:pPr>
        <w:spacing w:after="120" w:line="276" w:lineRule="auto"/>
        <w:jc w:val="both"/>
        <w:rPr>
          <w:rFonts w:ascii="Arial" w:hAnsi="Arial" w:cs="Arial"/>
        </w:rPr>
      </w:pPr>
    </w:p>
    <w:p w14:paraId="21FE941B" w14:textId="77777777" w:rsidR="002C3E43" w:rsidRPr="009B0F1D" w:rsidRDefault="002C3E43" w:rsidP="005565EF">
      <w:pPr>
        <w:pStyle w:val="Heading2"/>
        <w:spacing w:before="0" w:after="120" w:line="276" w:lineRule="auto"/>
        <w:jc w:val="both"/>
      </w:pPr>
      <w:bookmarkStart w:id="1" w:name="_Toc193301980"/>
      <w:r w:rsidRPr="009B0F1D">
        <w:t>REALIZACIÓN DE LA EVALUACIÓN</w:t>
      </w:r>
      <w:bookmarkEnd w:id="1"/>
    </w:p>
    <w:p w14:paraId="3E8493FE" w14:textId="77777777" w:rsidR="002C3E43" w:rsidRPr="009B0F1D" w:rsidRDefault="002C3E43" w:rsidP="005565EF">
      <w:pPr>
        <w:spacing w:after="120" w:line="276" w:lineRule="auto"/>
        <w:jc w:val="both"/>
        <w:rPr>
          <w:rFonts w:ascii="Arial" w:hAnsi="Arial" w:cs="Arial"/>
          <w:b/>
          <w:bCs/>
        </w:rPr>
      </w:pPr>
      <w:r w:rsidRPr="009B0F1D">
        <w:rPr>
          <w:rFonts w:ascii="Arial" w:hAnsi="Arial" w:cs="Arial"/>
          <w:b/>
          <w:bCs/>
        </w:rPr>
        <w:t>C. PUNTUACIÓN INICIAL Y JUSTIFICACIÓN</w:t>
      </w:r>
    </w:p>
    <w:p w14:paraId="7F2E5C59" w14:textId="1CD0B8C6" w:rsidR="002C3E43" w:rsidRPr="009B0F1D" w:rsidRDefault="002C3E43" w:rsidP="005565EF">
      <w:pPr>
        <w:spacing w:after="120" w:line="276" w:lineRule="auto"/>
        <w:jc w:val="both"/>
        <w:rPr>
          <w:rFonts w:ascii="Arial" w:hAnsi="Arial" w:cs="Arial"/>
          <w:color w:val="1F3864" w:themeColor="accent1" w:themeShade="80"/>
        </w:rPr>
      </w:pPr>
      <w:r w:rsidRPr="009B0F1D">
        <w:rPr>
          <w:rFonts w:ascii="Arial" w:hAnsi="Arial" w:cs="Arial"/>
          <w:b/>
          <w:bCs/>
          <w:color w:val="1F3864" w:themeColor="accent1" w:themeShade="80"/>
        </w:rPr>
        <w:t>Antes de convocar al panel de expertos</w:t>
      </w:r>
    </w:p>
    <w:p w14:paraId="3099C3CF" w14:textId="77777777" w:rsidR="002C3E43" w:rsidRPr="009B0F1D" w:rsidRDefault="002C3E43" w:rsidP="005565EF">
      <w:pPr>
        <w:spacing w:after="120" w:line="276" w:lineRule="auto"/>
        <w:jc w:val="both"/>
        <w:rPr>
          <w:rFonts w:ascii="Arial" w:hAnsi="Arial" w:cs="Arial"/>
        </w:rPr>
      </w:pPr>
      <w:r w:rsidRPr="009B0F1D">
        <w:rPr>
          <w:rFonts w:ascii="Arial" w:hAnsi="Arial" w:cs="Arial"/>
          <w:b/>
          <w:bCs/>
        </w:rPr>
        <w:t>Paso 1: Compartir las instrucciones, la metodología detallada, la tarjeta de puntuación y los materiales de fuentes secundarias</w:t>
      </w:r>
    </w:p>
    <w:p w14:paraId="15F9B13F" w14:textId="19F04CBE" w:rsidR="002C3E43" w:rsidRPr="009B0F1D" w:rsidRDefault="002C3E43" w:rsidP="005565EF">
      <w:pPr>
        <w:spacing w:after="120" w:line="276" w:lineRule="auto"/>
        <w:jc w:val="both"/>
        <w:rPr>
          <w:rFonts w:ascii="Arial" w:hAnsi="Arial" w:cs="Arial"/>
        </w:rPr>
      </w:pPr>
      <w:r w:rsidRPr="009B0F1D">
        <w:rPr>
          <w:rFonts w:ascii="Arial" w:hAnsi="Arial" w:cs="Arial"/>
        </w:rPr>
        <w:t xml:space="preserve">El </w:t>
      </w:r>
      <w:r w:rsidR="00752F08">
        <w:rPr>
          <w:rFonts w:ascii="Arial" w:hAnsi="Arial" w:cs="Arial"/>
        </w:rPr>
        <w:t>MR</w:t>
      </w:r>
      <w:r w:rsidRPr="009B0F1D">
        <w:rPr>
          <w:rFonts w:ascii="Arial" w:hAnsi="Arial" w:cs="Arial"/>
        </w:rPr>
        <w:t xml:space="preserve"> debe entregar las Instrucciones para los Miembros del Panel de Expertos idealmente </w:t>
      </w:r>
      <w:r w:rsidRPr="009B0F1D">
        <w:rPr>
          <w:rFonts w:ascii="Arial" w:hAnsi="Arial" w:cs="Arial"/>
          <w:b/>
          <w:bCs/>
        </w:rPr>
        <w:t>dos semanas</w:t>
      </w:r>
      <w:r w:rsidRPr="009B0F1D">
        <w:rPr>
          <w:rFonts w:ascii="Arial" w:hAnsi="Arial" w:cs="Arial"/>
        </w:rPr>
        <w:t xml:space="preserve"> antes de la discusión del panel, si es posible. En estas instrucciones, se aconseja a los panelistas que procedan de la siguiente manera para completar las puntuaciones:</w:t>
      </w:r>
    </w:p>
    <w:p w14:paraId="7A458CFC" w14:textId="2EA70EB8" w:rsidR="00D12804" w:rsidRPr="009B0F1D" w:rsidRDefault="002C3E43" w:rsidP="005565EF">
      <w:pPr>
        <w:pStyle w:val="ListParagraph"/>
        <w:numPr>
          <w:ilvl w:val="0"/>
          <w:numId w:val="5"/>
        </w:numPr>
        <w:spacing w:after="120" w:line="276" w:lineRule="auto"/>
        <w:jc w:val="both"/>
        <w:rPr>
          <w:rFonts w:ascii="Arial" w:hAnsi="Arial" w:cs="Arial"/>
        </w:rPr>
      </w:pPr>
      <w:r w:rsidRPr="009B0F1D">
        <w:rPr>
          <w:rFonts w:ascii="Arial" w:hAnsi="Arial" w:cs="Arial"/>
        </w:rPr>
        <w:t xml:space="preserve">Analizar cuidadosamente las preguntas </w:t>
      </w:r>
      <w:r w:rsidR="00AF28B3">
        <w:rPr>
          <w:rFonts w:ascii="Arial" w:hAnsi="Arial" w:cs="Arial"/>
        </w:rPr>
        <w:t>orientadoras</w:t>
      </w:r>
      <w:r w:rsidRPr="009B0F1D">
        <w:rPr>
          <w:rFonts w:ascii="Arial" w:hAnsi="Arial" w:cs="Arial"/>
        </w:rPr>
        <w:t xml:space="preserve"> para las dimensiones de los Principios 2 al 6 y revisar las descripciones detalladas de cada categoría de puntuación para comprender plenamente su significado.</w:t>
      </w:r>
    </w:p>
    <w:p w14:paraId="1CA6E873" w14:textId="77777777" w:rsidR="00D12804" w:rsidRPr="009B0F1D" w:rsidRDefault="002C3E43" w:rsidP="005565EF">
      <w:pPr>
        <w:pStyle w:val="ListParagraph"/>
        <w:numPr>
          <w:ilvl w:val="0"/>
          <w:numId w:val="5"/>
        </w:numPr>
        <w:spacing w:after="120" w:line="276" w:lineRule="auto"/>
        <w:jc w:val="both"/>
        <w:rPr>
          <w:rFonts w:ascii="Arial" w:hAnsi="Arial" w:cs="Arial"/>
        </w:rPr>
      </w:pPr>
      <w:r w:rsidRPr="009B0F1D">
        <w:rPr>
          <w:rFonts w:ascii="Arial" w:hAnsi="Arial" w:cs="Arial"/>
        </w:rPr>
        <w:t>Examinar la información recopilada para garantizar que responde de manera efectiva a los criterios de evaluación.</w:t>
      </w:r>
    </w:p>
    <w:p w14:paraId="38C33765" w14:textId="77777777" w:rsidR="00D12804" w:rsidRPr="009B0F1D" w:rsidRDefault="002C3E43" w:rsidP="005565EF">
      <w:pPr>
        <w:pStyle w:val="ListParagraph"/>
        <w:numPr>
          <w:ilvl w:val="0"/>
          <w:numId w:val="5"/>
        </w:numPr>
        <w:spacing w:after="120" w:line="276" w:lineRule="auto"/>
        <w:jc w:val="both"/>
        <w:rPr>
          <w:rFonts w:ascii="Arial" w:hAnsi="Arial" w:cs="Arial"/>
        </w:rPr>
      </w:pPr>
      <w:r w:rsidRPr="009B0F1D">
        <w:rPr>
          <w:rFonts w:ascii="Arial" w:hAnsi="Arial" w:cs="Arial"/>
        </w:rPr>
        <w:t>Seleccionar la puntuación que represente con mayor precisión los datos recopilados. Es importante señalar que este proceso puede revelar la necesidad de información adicional o aclaraciones sobre los datos existentes.</w:t>
      </w:r>
    </w:p>
    <w:p w14:paraId="177A1B40" w14:textId="4F4C2F66" w:rsidR="002C3E43" w:rsidRPr="009B0F1D" w:rsidRDefault="002C3E43" w:rsidP="005565EF">
      <w:pPr>
        <w:pStyle w:val="ListParagraph"/>
        <w:numPr>
          <w:ilvl w:val="0"/>
          <w:numId w:val="5"/>
        </w:numPr>
        <w:spacing w:after="120" w:line="276" w:lineRule="auto"/>
        <w:jc w:val="both"/>
        <w:rPr>
          <w:rFonts w:ascii="Arial" w:hAnsi="Arial" w:cs="Arial"/>
        </w:rPr>
      </w:pPr>
      <w:r w:rsidRPr="009B0F1D">
        <w:rPr>
          <w:rFonts w:ascii="Arial" w:hAnsi="Arial" w:cs="Arial"/>
        </w:rPr>
        <w:t>Proporcionar evidencia para respaldar la puntuación asignada o la respuesta. Siempre que sea posible, incluir enlaces a la evidencia o información de respaldo.</w:t>
      </w:r>
    </w:p>
    <w:p w14:paraId="42741A40" w14:textId="63AE3CB6" w:rsidR="002C3E43" w:rsidRPr="009B0F1D" w:rsidRDefault="002C3E43" w:rsidP="005565EF">
      <w:pPr>
        <w:spacing w:after="120" w:line="276" w:lineRule="auto"/>
        <w:jc w:val="both"/>
        <w:rPr>
          <w:rFonts w:ascii="Arial" w:hAnsi="Arial" w:cs="Arial"/>
        </w:rPr>
      </w:pPr>
      <w:r w:rsidRPr="009B0F1D">
        <w:rPr>
          <w:rFonts w:ascii="Arial" w:hAnsi="Arial" w:cs="Arial"/>
        </w:rPr>
        <w:t xml:space="preserve">Las puntuaciones deben asignarse en una de las cinco categorías de la escala definida como: </w:t>
      </w:r>
      <w:r w:rsidRPr="009B0F1D">
        <w:rPr>
          <w:rFonts w:ascii="Arial" w:hAnsi="Arial" w:cs="Arial"/>
          <w:b/>
          <w:bCs/>
        </w:rPr>
        <w:t xml:space="preserve">totalmente inhibidor, inhibidor, parcialmente </w:t>
      </w:r>
      <w:r w:rsidR="00752F08">
        <w:rPr>
          <w:rFonts w:ascii="Arial" w:hAnsi="Arial" w:cs="Arial"/>
          <w:b/>
          <w:bCs/>
        </w:rPr>
        <w:t>habilitante</w:t>
      </w:r>
      <w:r w:rsidRPr="009B0F1D">
        <w:rPr>
          <w:rFonts w:ascii="Arial" w:hAnsi="Arial" w:cs="Arial"/>
          <w:b/>
          <w:bCs/>
        </w:rPr>
        <w:t>, habilitante y totalmente habilitante</w:t>
      </w:r>
      <w:r w:rsidRPr="009B0F1D">
        <w:rPr>
          <w:rFonts w:ascii="Arial" w:hAnsi="Arial" w:cs="Arial"/>
        </w:rPr>
        <w:t>.</w:t>
      </w:r>
    </w:p>
    <w:p w14:paraId="7B1FE555" w14:textId="77777777" w:rsidR="002C3E43" w:rsidRPr="009B0F1D" w:rsidRDefault="002C3E43" w:rsidP="005565EF">
      <w:pPr>
        <w:spacing w:after="120" w:line="276" w:lineRule="auto"/>
        <w:jc w:val="both"/>
        <w:rPr>
          <w:rFonts w:ascii="Arial" w:hAnsi="Arial" w:cs="Arial"/>
        </w:rPr>
      </w:pPr>
      <w:r w:rsidRPr="009B0F1D">
        <w:rPr>
          <w:rFonts w:ascii="Arial" w:hAnsi="Arial" w:cs="Arial"/>
        </w:rPr>
        <w:t>Las Instrucciones para los Miembros del Panel de Expertos indican que cada panelista debe puntuar cada dimensión en función de los siguientes elementos:</w:t>
      </w:r>
    </w:p>
    <w:p w14:paraId="11ADF727" w14:textId="72AFF105" w:rsidR="002C3E43" w:rsidRPr="009B0F1D" w:rsidRDefault="002C3E43" w:rsidP="005565EF">
      <w:pPr>
        <w:numPr>
          <w:ilvl w:val="0"/>
          <w:numId w:val="4"/>
        </w:numPr>
        <w:spacing w:after="120" w:line="276" w:lineRule="auto"/>
        <w:jc w:val="both"/>
        <w:rPr>
          <w:rFonts w:ascii="Arial" w:hAnsi="Arial" w:cs="Arial"/>
        </w:rPr>
      </w:pPr>
      <w:r w:rsidRPr="009B0F1D">
        <w:rPr>
          <w:rFonts w:ascii="Arial" w:hAnsi="Arial" w:cs="Arial"/>
        </w:rPr>
        <w:t>La revisión de la información recopilada por el</w:t>
      </w:r>
      <w:r w:rsidR="00342377" w:rsidRPr="009B0F1D">
        <w:rPr>
          <w:rFonts w:ascii="Arial" w:hAnsi="Arial" w:cs="Arial"/>
        </w:rPr>
        <w:t xml:space="preserve"> Miembro de la Red </w:t>
      </w:r>
      <w:r w:rsidRPr="009B0F1D">
        <w:rPr>
          <w:rFonts w:ascii="Arial" w:hAnsi="Arial" w:cs="Arial"/>
        </w:rPr>
        <w:t xml:space="preserve">a lo largo del año </w:t>
      </w:r>
      <w:r w:rsidRPr="00752F08">
        <w:rPr>
          <w:rFonts w:ascii="Arial" w:hAnsi="Arial" w:cs="Arial"/>
        </w:rPr>
        <w:t>mediante el Mecanismo de Alerta Temprana</w:t>
      </w:r>
      <w:r w:rsidR="00342377" w:rsidRPr="00752F08">
        <w:rPr>
          <w:rFonts w:ascii="Arial" w:hAnsi="Arial" w:cs="Arial"/>
        </w:rPr>
        <w:t xml:space="preserve"> (MAT)</w:t>
      </w:r>
      <w:r w:rsidRPr="00752F08">
        <w:rPr>
          <w:rFonts w:ascii="Arial" w:hAnsi="Arial" w:cs="Arial"/>
        </w:rPr>
        <w:t xml:space="preserve"> </w:t>
      </w:r>
      <w:proofErr w:type="spellStart"/>
      <w:r w:rsidRPr="00752F08">
        <w:rPr>
          <w:rFonts w:ascii="Arial" w:hAnsi="Arial" w:cs="Arial"/>
        </w:rPr>
        <w:t>y</w:t>
      </w:r>
      <w:proofErr w:type="spellEnd"/>
      <w:r w:rsidRPr="00752F08">
        <w:rPr>
          <w:rFonts w:ascii="Arial" w:hAnsi="Arial" w:cs="Arial"/>
        </w:rPr>
        <w:t xml:space="preserve"> </w:t>
      </w:r>
      <w:r w:rsidR="00752F08" w:rsidRPr="00752F08">
        <w:rPr>
          <w:rFonts w:ascii="Arial" w:hAnsi="Arial" w:cs="Arial"/>
        </w:rPr>
        <w:t>Instantáneas (</w:t>
      </w:r>
      <w:proofErr w:type="spellStart"/>
      <w:r w:rsidR="00752F08" w:rsidRPr="00752F08">
        <w:rPr>
          <w:rFonts w:ascii="Arial" w:hAnsi="Arial" w:cs="Arial"/>
          <w:i/>
          <w:iCs/>
        </w:rPr>
        <w:t>snapshots</w:t>
      </w:r>
      <w:proofErr w:type="spellEnd"/>
      <w:r w:rsidR="00752F08" w:rsidRPr="00752F08">
        <w:rPr>
          <w:rFonts w:ascii="Arial" w:hAnsi="Arial" w:cs="Arial"/>
        </w:rPr>
        <w:t>)</w:t>
      </w:r>
      <w:r w:rsidRPr="00752F08">
        <w:rPr>
          <w:rFonts w:ascii="Arial" w:hAnsi="Arial" w:cs="Arial"/>
        </w:rPr>
        <w:t xml:space="preserve"> de Ambiente Habilitante.</w:t>
      </w:r>
    </w:p>
    <w:p w14:paraId="59EF3DA7" w14:textId="1E8A22CC" w:rsidR="002C3E43" w:rsidRPr="009B0F1D" w:rsidRDefault="002C3E43" w:rsidP="005565EF">
      <w:pPr>
        <w:numPr>
          <w:ilvl w:val="0"/>
          <w:numId w:val="4"/>
        </w:numPr>
        <w:spacing w:after="120" w:line="276" w:lineRule="auto"/>
        <w:jc w:val="both"/>
        <w:rPr>
          <w:rFonts w:ascii="Arial" w:hAnsi="Arial" w:cs="Arial"/>
        </w:rPr>
      </w:pPr>
      <w:r w:rsidRPr="009B0F1D">
        <w:rPr>
          <w:rFonts w:ascii="Arial" w:hAnsi="Arial" w:cs="Arial"/>
        </w:rPr>
        <w:t xml:space="preserve">Investigación documental en fuentes creíbles, como leyes relevantes, artículos, reportajes, publicaciones u otra información de organizaciones o instituciones de confianza, incluidas aquellas enumeradas en las </w:t>
      </w:r>
      <w:r w:rsidR="005B5328" w:rsidRPr="009B0F1D">
        <w:rPr>
          <w:rFonts w:ascii="Arial" w:hAnsi="Arial" w:cs="Arial"/>
        </w:rPr>
        <w:t>Instrucciones para los Miembros del Panel de Expertos</w:t>
      </w:r>
      <w:r w:rsidRPr="009B0F1D">
        <w:rPr>
          <w:rFonts w:ascii="Arial" w:hAnsi="Arial" w:cs="Arial"/>
        </w:rPr>
        <w:t>, así como cualquier otra fuente disponible en el país.</w:t>
      </w:r>
    </w:p>
    <w:p w14:paraId="4A1D0922" w14:textId="1D663E67" w:rsidR="002C3E43" w:rsidRPr="009B0F1D" w:rsidRDefault="002C3E43" w:rsidP="005565EF">
      <w:pPr>
        <w:numPr>
          <w:ilvl w:val="0"/>
          <w:numId w:val="4"/>
        </w:numPr>
        <w:spacing w:after="120" w:line="276" w:lineRule="auto"/>
        <w:jc w:val="both"/>
        <w:rPr>
          <w:rFonts w:ascii="Arial" w:hAnsi="Arial" w:cs="Arial"/>
        </w:rPr>
      </w:pPr>
      <w:r w:rsidRPr="009B0F1D">
        <w:rPr>
          <w:rFonts w:ascii="Arial" w:hAnsi="Arial" w:cs="Arial"/>
        </w:rPr>
        <w:t xml:space="preserve">Fuentes secundarias </w:t>
      </w:r>
      <w:r w:rsidR="0096122D">
        <w:rPr>
          <w:rFonts w:ascii="Arial" w:hAnsi="Arial" w:cs="Arial"/>
        </w:rPr>
        <w:t>cualitativas</w:t>
      </w:r>
      <w:r w:rsidRPr="009B0F1D">
        <w:rPr>
          <w:rFonts w:ascii="Arial" w:hAnsi="Arial" w:cs="Arial"/>
        </w:rPr>
        <w:t>, como entrevistas a académicos relevantes y representantes con experiencia directa.</w:t>
      </w:r>
    </w:p>
    <w:p w14:paraId="56F4328B" w14:textId="4DD3DE0C" w:rsidR="002C3E43" w:rsidRPr="009B0F1D" w:rsidRDefault="002C3E43" w:rsidP="005565EF">
      <w:pPr>
        <w:spacing w:after="120" w:line="276" w:lineRule="auto"/>
        <w:jc w:val="both"/>
        <w:rPr>
          <w:rFonts w:ascii="Arial" w:hAnsi="Arial" w:cs="Arial"/>
        </w:rPr>
      </w:pPr>
      <w:r w:rsidRPr="009B0F1D">
        <w:rPr>
          <w:rFonts w:ascii="Arial" w:hAnsi="Arial" w:cs="Arial"/>
        </w:rPr>
        <w:lastRenderedPageBreak/>
        <w:t xml:space="preserve">Se debe alentar a los panelistas a </w:t>
      </w:r>
      <w:r w:rsidRPr="009B0F1D">
        <w:rPr>
          <w:rFonts w:ascii="Arial" w:hAnsi="Arial" w:cs="Arial"/>
          <w:b/>
          <w:bCs/>
        </w:rPr>
        <w:t>pensar más allá de los eventos y desarrollos en la capital</w:t>
      </w:r>
      <w:r w:rsidRPr="009B0F1D">
        <w:rPr>
          <w:rFonts w:ascii="Arial" w:hAnsi="Arial" w:cs="Arial"/>
        </w:rPr>
        <w:t>, para incluir la situación en otras regiones y áreas rurales del país, así como en OSC no tradicionales, como las organizaciones de base y los movimientos sociales.</w:t>
      </w:r>
    </w:p>
    <w:p w14:paraId="7143EC7D" w14:textId="7A40E3C0" w:rsidR="002C3E43" w:rsidRPr="009B0F1D" w:rsidRDefault="002C3E43" w:rsidP="005565EF">
      <w:pPr>
        <w:spacing w:after="120" w:line="276" w:lineRule="auto"/>
        <w:jc w:val="both"/>
        <w:rPr>
          <w:rFonts w:ascii="Arial" w:hAnsi="Arial" w:cs="Arial"/>
        </w:rPr>
      </w:pPr>
      <w:r w:rsidRPr="009B0F1D">
        <w:rPr>
          <w:rFonts w:ascii="Arial" w:hAnsi="Arial" w:cs="Arial"/>
        </w:rPr>
        <w:t xml:space="preserve">Junto con las instrucciones (Anexo 2), cada panelista experto seleccionado también debe recibir la Metodología de los </w:t>
      </w:r>
      <w:r w:rsidR="009B0F1D" w:rsidRPr="009B0F1D">
        <w:rPr>
          <w:rFonts w:ascii="Arial" w:hAnsi="Arial" w:cs="Arial"/>
        </w:rPr>
        <w:t>IEP</w:t>
      </w:r>
      <w:r w:rsidRPr="009B0F1D">
        <w:rPr>
          <w:rFonts w:ascii="Arial" w:hAnsi="Arial" w:cs="Arial"/>
        </w:rPr>
        <w:t xml:space="preserve">, </w:t>
      </w:r>
      <w:r w:rsidR="00752F08">
        <w:rPr>
          <w:rFonts w:ascii="Arial" w:hAnsi="Arial" w:cs="Arial"/>
        </w:rPr>
        <w:t>donde se</w:t>
      </w:r>
      <w:r w:rsidRPr="009B0F1D">
        <w:rPr>
          <w:rFonts w:ascii="Arial" w:hAnsi="Arial" w:cs="Arial"/>
        </w:rPr>
        <w:t xml:space="preserve"> describe</w:t>
      </w:r>
      <w:r w:rsidR="00752F08">
        <w:rPr>
          <w:rFonts w:ascii="Arial" w:hAnsi="Arial" w:cs="Arial"/>
        </w:rPr>
        <w:t>n</w:t>
      </w:r>
      <w:r w:rsidRPr="009B0F1D">
        <w:rPr>
          <w:rFonts w:ascii="Arial" w:hAnsi="Arial" w:cs="Arial"/>
        </w:rPr>
        <w:t xml:space="preserve"> las dimensiones y las preguntas </w:t>
      </w:r>
      <w:r w:rsidR="00AF28B3">
        <w:rPr>
          <w:rFonts w:ascii="Arial" w:hAnsi="Arial" w:cs="Arial"/>
        </w:rPr>
        <w:t>orientadoras</w:t>
      </w:r>
      <w:r w:rsidRPr="009B0F1D">
        <w:rPr>
          <w:rFonts w:ascii="Arial" w:hAnsi="Arial" w:cs="Arial"/>
        </w:rPr>
        <w:t xml:space="preserve"> bajo cada principio, con campos para anotar una puntuación propuesta para cada dimensión y para registrar notas con evidencia cuantitativa y cualitativa que respalde dicha puntuación. Esta tarjeta de puntuación se incluye como Anexo 3.</w:t>
      </w:r>
    </w:p>
    <w:p w14:paraId="55D46A20" w14:textId="2D83AF4A" w:rsidR="002C3E43" w:rsidRPr="009B0F1D" w:rsidRDefault="002C3E43" w:rsidP="005565EF">
      <w:pPr>
        <w:spacing w:after="120" w:line="276" w:lineRule="auto"/>
        <w:jc w:val="both"/>
        <w:rPr>
          <w:rFonts w:ascii="Arial" w:hAnsi="Arial" w:cs="Arial"/>
        </w:rPr>
      </w:pPr>
      <w:r w:rsidRPr="009B0F1D">
        <w:rPr>
          <w:rFonts w:ascii="Arial" w:hAnsi="Arial" w:cs="Arial"/>
        </w:rPr>
        <w:t>El investigador del</w:t>
      </w:r>
      <w:r w:rsidR="00342377" w:rsidRPr="009B0F1D">
        <w:rPr>
          <w:rFonts w:ascii="Arial" w:hAnsi="Arial" w:cs="Arial"/>
        </w:rPr>
        <w:t xml:space="preserve"> </w:t>
      </w:r>
      <w:r w:rsidR="00752F08">
        <w:rPr>
          <w:rFonts w:ascii="Arial" w:hAnsi="Arial" w:cs="Arial"/>
        </w:rPr>
        <w:t>MR</w:t>
      </w:r>
      <w:r w:rsidR="00342377" w:rsidRPr="009B0F1D">
        <w:rPr>
          <w:rFonts w:ascii="Arial" w:hAnsi="Arial" w:cs="Arial"/>
        </w:rPr>
        <w:t xml:space="preserve"> </w:t>
      </w:r>
      <w:r w:rsidRPr="009B0F1D">
        <w:rPr>
          <w:rFonts w:ascii="Arial" w:hAnsi="Arial" w:cs="Arial"/>
        </w:rPr>
        <w:t>también debe compartir con los panelistas expertos los datos e información de fuentes secundarias para su revisión y consideración.</w:t>
      </w:r>
    </w:p>
    <w:p w14:paraId="50F82B0F" w14:textId="14B5D251" w:rsidR="002C3E43" w:rsidRPr="009B0F1D" w:rsidRDefault="002C3E43" w:rsidP="005565EF">
      <w:pPr>
        <w:spacing w:after="120" w:line="276" w:lineRule="auto"/>
        <w:jc w:val="both"/>
        <w:rPr>
          <w:rFonts w:ascii="Arial" w:hAnsi="Arial" w:cs="Arial"/>
        </w:rPr>
      </w:pPr>
      <w:r w:rsidRPr="009B0F1D">
        <w:rPr>
          <w:rFonts w:ascii="Arial" w:hAnsi="Arial" w:cs="Arial"/>
        </w:rPr>
        <w:t>En la plantilla de la tarjeta de puntuación que se proporcionará a los panelistas, bajo cada dimensión hay un "</w:t>
      </w:r>
      <w:r w:rsidR="00181689" w:rsidRPr="009B0F1D">
        <w:rPr>
          <w:rFonts w:ascii="Arial" w:hAnsi="Arial" w:cs="Arial"/>
        </w:rPr>
        <w:t>re</w:t>
      </w:r>
      <w:r w:rsidR="00A90AC6" w:rsidRPr="009B0F1D">
        <w:rPr>
          <w:rFonts w:ascii="Arial" w:hAnsi="Arial" w:cs="Arial"/>
        </w:rPr>
        <w:t>cuadro</w:t>
      </w:r>
      <w:r w:rsidRPr="009B0F1D">
        <w:rPr>
          <w:rFonts w:ascii="Arial" w:hAnsi="Arial" w:cs="Arial"/>
        </w:rPr>
        <w:t xml:space="preserve"> de justificación" en la que cada panelista debe resumir la evidencia que respalda cada puntuación propuesta y proporcionar razones claras para la puntuación asignada en cada dimensión.</w:t>
      </w:r>
    </w:p>
    <w:tbl>
      <w:tblPr>
        <w:tblStyle w:val="TableGrid"/>
        <w:tblW w:w="0" w:type="auto"/>
        <w:tblLayout w:type="fixed"/>
        <w:tblLook w:val="06A0" w:firstRow="1" w:lastRow="0" w:firstColumn="1" w:lastColumn="0" w:noHBand="1" w:noVBand="1"/>
      </w:tblPr>
      <w:tblGrid>
        <w:gridCol w:w="9015"/>
      </w:tblGrid>
      <w:tr w:rsidR="00A90AC6" w:rsidRPr="009B0F1D" w14:paraId="0365ED45" w14:textId="77777777" w:rsidTr="00095AC3">
        <w:trPr>
          <w:trHeight w:val="300"/>
        </w:trPr>
        <w:tc>
          <w:tcPr>
            <w:tcW w:w="9015" w:type="dxa"/>
          </w:tcPr>
          <w:p w14:paraId="1BD2DC9B" w14:textId="7BEEF35F" w:rsidR="00A90AC6" w:rsidRPr="009B0F1D" w:rsidRDefault="00181689" w:rsidP="005565EF">
            <w:pPr>
              <w:spacing w:after="120" w:line="276" w:lineRule="auto"/>
              <w:jc w:val="both"/>
              <w:rPr>
                <w:rFonts w:ascii="Arial" w:hAnsi="Arial" w:cs="Arial"/>
                <w:lang w:val="es-ES"/>
              </w:rPr>
            </w:pPr>
            <w:r w:rsidRPr="009B0F1D">
              <w:rPr>
                <w:rFonts w:ascii="Arial" w:hAnsi="Arial" w:cs="Arial"/>
                <w:b/>
                <w:bCs/>
                <w:lang w:val="es-ES"/>
              </w:rPr>
              <w:t>Nota:</w:t>
            </w:r>
            <w:r w:rsidRPr="009B0F1D">
              <w:rPr>
                <w:rFonts w:ascii="Arial" w:hAnsi="Arial" w:cs="Arial"/>
                <w:lang w:val="es-ES"/>
              </w:rPr>
              <w:t xml:space="preserve"> Cada puntuación asignada debe estar basada y fundamentada en evidencia sólida. Esta evidencia es esencial para respaldar la credibilidad de la puntuación otorgada. El recuadro de justificación en la tarjeta de puntuación permitirá a los panelistas y al</w:t>
            </w:r>
            <w:r w:rsidR="00342377" w:rsidRPr="009B0F1D">
              <w:rPr>
                <w:rFonts w:ascii="Arial" w:hAnsi="Arial" w:cs="Arial"/>
                <w:lang w:val="es-ES"/>
              </w:rPr>
              <w:t xml:space="preserve"> </w:t>
            </w:r>
            <w:r w:rsidR="00752F08" w:rsidRPr="00752F08">
              <w:rPr>
                <w:rFonts w:ascii="Arial" w:hAnsi="Arial" w:cs="Arial"/>
                <w:lang w:val="es-ES"/>
              </w:rPr>
              <w:t>MR</w:t>
            </w:r>
            <w:r w:rsidR="00752F08" w:rsidRPr="009B0F1D">
              <w:rPr>
                <w:rFonts w:ascii="Arial" w:hAnsi="Arial" w:cs="Arial"/>
                <w:lang w:val="es-ES"/>
              </w:rPr>
              <w:t xml:space="preserve"> </w:t>
            </w:r>
            <w:r w:rsidRPr="009B0F1D">
              <w:rPr>
                <w:rFonts w:ascii="Arial" w:hAnsi="Arial" w:cs="Arial"/>
                <w:lang w:val="es-ES"/>
              </w:rPr>
              <w:t>documentar y detallar la evidencia que respalda cada puntuación. Registrar esta información será crucial para el proceso de redacción del informe y para demostrar el rigor y la fiabilidad de los hallazgos.</w:t>
            </w:r>
          </w:p>
        </w:tc>
      </w:tr>
    </w:tbl>
    <w:p w14:paraId="2CFC0C8C" w14:textId="77777777" w:rsidR="00A90AC6" w:rsidRPr="009B0F1D" w:rsidRDefault="00A90AC6" w:rsidP="005565EF">
      <w:pPr>
        <w:spacing w:after="120" w:line="276" w:lineRule="auto"/>
        <w:jc w:val="both"/>
        <w:rPr>
          <w:rFonts w:ascii="Arial" w:hAnsi="Arial" w:cs="Arial"/>
          <w:b/>
          <w:bCs/>
        </w:rPr>
      </w:pPr>
    </w:p>
    <w:p w14:paraId="146FC55F" w14:textId="6A7B19BD" w:rsidR="00181689" w:rsidRPr="009B0F1D" w:rsidRDefault="00181689" w:rsidP="005565EF">
      <w:pPr>
        <w:spacing w:after="120" w:line="276" w:lineRule="auto"/>
        <w:jc w:val="both"/>
        <w:rPr>
          <w:rFonts w:ascii="Arial" w:hAnsi="Arial" w:cs="Arial"/>
          <w:b/>
          <w:bCs/>
        </w:rPr>
      </w:pPr>
      <w:r w:rsidRPr="009B0F1D">
        <w:rPr>
          <w:rFonts w:ascii="Arial" w:hAnsi="Arial" w:cs="Arial"/>
          <w:b/>
          <w:bCs/>
        </w:rPr>
        <w:t>Paso 2</w:t>
      </w:r>
      <w:r w:rsidR="005040D4">
        <w:rPr>
          <w:rFonts w:ascii="Arial" w:hAnsi="Arial" w:cs="Arial"/>
          <w:b/>
          <w:bCs/>
        </w:rPr>
        <w:t xml:space="preserve"> (opcional)</w:t>
      </w:r>
      <w:r w:rsidRPr="009B0F1D">
        <w:rPr>
          <w:rFonts w:ascii="Arial" w:hAnsi="Arial" w:cs="Arial"/>
          <w:b/>
          <w:bCs/>
        </w:rPr>
        <w:t>: Realizar una sesión de orientación con los miembros del panel de expertos</w:t>
      </w:r>
    </w:p>
    <w:p w14:paraId="1EF38F01" w14:textId="5FF99051" w:rsidR="00181689" w:rsidRPr="009B0F1D" w:rsidRDefault="004366C6" w:rsidP="005565EF">
      <w:pPr>
        <w:spacing w:after="120" w:line="276" w:lineRule="auto"/>
        <w:jc w:val="both"/>
        <w:rPr>
          <w:rFonts w:ascii="Arial" w:hAnsi="Arial" w:cs="Arial"/>
        </w:rPr>
      </w:pPr>
      <w:r>
        <w:rPr>
          <w:rFonts w:ascii="Arial" w:hAnsi="Arial" w:cs="Arial"/>
        </w:rPr>
        <w:t xml:space="preserve">En caso de disponer de tiempo </w:t>
      </w:r>
      <w:proofErr w:type="spellStart"/>
      <w:r>
        <w:rPr>
          <w:rFonts w:ascii="Arial" w:hAnsi="Arial" w:cs="Arial"/>
        </w:rPr>
        <w:t>sufience</w:t>
      </w:r>
      <w:proofErr w:type="spellEnd"/>
      <w:r>
        <w:rPr>
          <w:rFonts w:ascii="Arial" w:hAnsi="Arial" w:cs="Arial"/>
        </w:rPr>
        <w:t>, esta</w:t>
      </w:r>
      <w:r w:rsidR="00181689" w:rsidRPr="009B0F1D">
        <w:rPr>
          <w:rFonts w:ascii="Arial" w:hAnsi="Arial" w:cs="Arial"/>
        </w:rPr>
        <w:t xml:space="preserve"> sesión debe llevarse a cabo lo antes posible después de entregar los materiales escritos. Además de explicar su rol, se debe proporcionar información clara e instrucciones a los expertos, incluyendo lo siguiente:</w:t>
      </w:r>
    </w:p>
    <w:p w14:paraId="00C1D1C5" w14:textId="3252359C" w:rsidR="00181689" w:rsidRPr="009B0F1D" w:rsidRDefault="00181689" w:rsidP="005565EF">
      <w:pPr>
        <w:numPr>
          <w:ilvl w:val="0"/>
          <w:numId w:val="6"/>
        </w:numPr>
        <w:spacing w:after="120" w:line="276" w:lineRule="auto"/>
        <w:jc w:val="both"/>
        <w:rPr>
          <w:rFonts w:ascii="Arial" w:hAnsi="Arial" w:cs="Arial"/>
        </w:rPr>
      </w:pPr>
      <w:proofErr w:type="gramStart"/>
      <w:r w:rsidRPr="009B0F1D">
        <w:rPr>
          <w:rFonts w:ascii="Arial" w:hAnsi="Arial" w:cs="Arial"/>
          <w:b/>
          <w:bCs/>
        </w:rPr>
        <w:t>Destacar</w:t>
      </w:r>
      <w:proofErr w:type="gramEnd"/>
      <w:r w:rsidRPr="009B0F1D">
        <w:rPr>
          <w:rFonts w:ascii="Arial" w:hAnsi="Arial" w:cs="Arial"/>
          <w:b/>
          <w:bCs/>
        </w:rPr>
        <w:t xml:space="preserve"> que el objetivo de la investigación</w:t>
      </w:r>
      <w:r w:rsidRPr="009B0F1D">
        <w:rPr>
          <w:rFonts w:ascii="Arial" w:hAnsi="Arial" w:cs="Arial"/>
        </w:rPr>
        <w:t xml:space="preserve"> es evaluar dimensiones y principios específicos del </w:t>
      </w:r>
      <w:r w:rsidR="00342377" w:rsidRPr="009B0F1D">
        <w:rPr>
          <w:rFonts w:ascii="Arial" w:hAnsi="Arial" w:cs="Arial"/>
        </w:rPr>
        <w:t>ambiente habilitante</w:t>
      </w:r>
      <w:r w:rsidRPr="009B0F1D">
        <w:rPr>
          <w:rFonts w:ascii="Arial" w:hAnsi="Arial" w:cs="Arial"/>
        </w:rPr>
        <w:t xml:space="preserve"> para la sociedad civil, basándose en evidencia creíble y objetiva.</w:t>
      </w:r>
    </w:p>
    <w:p w14:paraId="2699254B" w14:textId="527E58F7" w:rsidR="00181689" w:rsidRPr="009B0F1D" w:rsidRDefault="00181689" w:rsidP="005565EF">
      <w:pPr>
        <w:numPr>
          <w:ilvl w:val="0"/>
          <w:numId w:val="6"/>
        </w:numPr>
        <w:spacing w:after="120" w:line="276" w:lineRule="auto"/>
        <w:jc w:val="both"/>
        <w:rPr>
          <w:rFonts w:ascii="Arial" w:hAnsi="Arial" w:cs="Arial"/>
        </w:rPr>
      </w:pPr>
      <w:r w:rsidRPr="009B0F1D">
        <w:rPr>
          <w:rFonts w:ascii="Arial" w:hAnsi="Arial" w:cs="Arial"/>
          <w:b/>
          <w:bCs/>
        </w:rPr>
        <w:t>Invitar a los expertos</w:t>
      </w:r>
      <w:r w:rsidRPr="009B0F1D">
        <w:rPr>
          <w:rFonts w:ascii="Arial" w:hAnsi="Arial" w:cs="Arial"/>
        </w:rPr>
        <w:t xml:space="preserve"> a proponer puntuaciones y justificaciones antes de la discusión del panel. </w:t>
      </w:r>
      <w:proofErr w:type="gramStart"/>
      <w:r w:rsidR="00B407B8" w:rsidRPr="009B0F1D">
        <w:rPr>
          <w:rFonts w:ascii="Arial" w:hAnsi="Arial" w:cs="Arial"/>
        </w:rPr>
        <w:t>A</w:t>
      </w:r>
      <w:r w:rsidRPr="009B0F1D">
        <w:rPr>
          <w:rFonts w:ascii="Arial" w:hAnsi="Arial" w:cs="Arial"/>
        </w:rPr>
        <w:t>clarar</w:t>
      </w:r>
      <w:proofErr w:type="gramEnd"/>
      <w:r w:rsidRPr="009B0F1D">
        <w:rPr>
          <w:rFonts w:ascii="Arial" w:hAnsi="Arial" w:cs="Arial"/>
        </w:rPr>
        <w:t xml:space="preserve"> que el propósito principal de la discusión es recopilar puntuaciones y justificaciones fundamentadas en la evidencia. Sus aportes serán esenciales para perfeccionar los resultados de la investigación y fortalecer su validez.</w:t>
      </w:r>
    </w:p>
    <w:p w14:paraId="5C3886F6" w14:textId="13B77C91" w:rsidR="00181689" w:rsidRPr="009B0F1D" w:rsidRDefault="00181689" w:rsidP="005565EF">
      <w:pPr>
        <w:numPr>
          <w:ilvl w:val="0"/>
          <w:numId w:val="6"/>
        </w:numPr>
        <w:spacing w:after="120" w:line="276" w:lineRule="auto"/>
        <w:jc w:val="both"/>
        <w:rPr>
          <w:rFonts w:ascii="Arial" w:hAnsi="Arial" w:cs="Arial"/>
        </w:rPr>
      </w:pPr>
      <w:r w:rsidRPr="009B0F1D">
        <w:rPr>
          <w:rFonts w:ascii="Arial" w:hAnsi="Arial" w:cs="Arial"/>
          <w:b/>
          <w:bCs/>
        </w:rPr>
        <w:t>Alentar a los expertos</w:t>
      </w:r>
      <w:r w:rsidRPr="009B0F1D">
        <w:rPr>
          <w:rFonts w:ascii="Arial" w:hAnsi="Arial" w:cs="Arial"/>
        </w:rPr>
        <w:t xml:space="preserve"> a identificar áreas donde la investigación pueda necesitar más aclaraciones o información adicional para respaldar las puntuaciones y reflejar con precisión la realidad del </w:t>
      </w:r>
      <w:r w:rsidR="00C468A6" w:rsidRPr="009B0F1D">
        <w:rPr>
          <w:rFonts w:ascii="Arial" w:hAnsi="Arial" w:cs="Arial"/>
        </w:rPr>
        <w:t>ambiente habilitante</w:t>
      </w:r>
      <w:r w:rsidRPr="009B0F1D">
        <w:rPr>
          <w:rFonts w:ascii="Arial" w:hAnsi="Arial" w:cs="Arial"/>
        </w:rPr>
        <w:t xml:space="preserve"> en el país.</w:t>
      </w:r>
    </w:p>
    <w:p w14:paraId="7F9E731A" w14:textId="499F8C8C" w:rsidR="00181689" w:rsidRPr="009B0F1D" w:rsidRDefault="00181689" w:rsidP="005565EF">
      <w:pPr>
        <w:numPr>
          <w:ilvl w:val="0"/>
          <w:numId w:val="6"/>
        </w:numPr>
        <w:spacing w:after="120" w:line="276" w:lineRule="auto"/>
        <w:jc w:val="both"/>
        <w:rPr>
          <w:rFonts w:ascii="Arial" w:hAnsi="Arial" w:cs="Arial"/>
        </w:rPr>
      </w:pPr>
      <w:r w:rsidRPr="009B0F1D">
        <w:rPr>
          <w:rFonts w:ascii="Arial" w:hAnsi="Arial" w:cs="Arial"/>
          <w:b/>
          <w:bCs/>
        </w:rPr>
        <w:t>Animar a los expertos</w:t>
      </w:r>
      <w:r w:rsidRPr="009B0F1D">
        <w:rPr>
          <w:rFonts w:ascii="Arial" w:hAnsi="Arial" w:cs="Arial"/>
        </w:rPr>
        <w:t xml:space="preserve"> a reservar tiempo para realizar investigaciones </w:t>
      </w:r>
      <w:r w:rsidR="00B407B8" w:rsidRPr="009B0F1D">
        <w:rPr>
          <w:rFonts w:ascii="Arial" w:hAnsi="Arial" w:cs="Arial"/>
        </w:rPr>
        <w:t xml:space="preserve">documentales </w:t>
      </w:r>
      <w:r w:rsidRPr="009B0F1D">
        <w:rPr>
          <w:rFonts w:ascii="Arial" w:hAnsi="Arial" w:cs="Arial"/>
        </w:rPr>
        <w:t>adicionales si es necesario, a fin de completar la tarjeta de puntuación antes de la discusión del panel.</w:t>
      </w:r>
    </w:p>
    <w:p w14:paraId="7CB2ABF8" w14:textId="6CB3B211" w:rsidR="00181689" w:rsidRPr="009B0F1D" w:rsidRDefault="00181689" w:rsidP="005565EF">
      <w:pPr>
        <w:spacing w:after="120" w:line="276" w:lineRule="auto"/>
        <w:jc w:val="both"/>
        <w:rPr>
          <w:rFonts w:ascii="Arial" w:hAnsi="Arial" w:cs="Arial"/>
        </w:rPr>
      </w:pPr>
      <w:r w:rsidRPr="009B0F1D">
        <w:rPr>
          <w:rFonts w:ascii="Arial" w:hAnsi="Arial" w:cs="Arial"/>
        </w:rPr>
        <w:lastRenderedPageBreak/>
        <w:t xml:space="preserve">Las preguntas orientadoras para cada dimensión están diseñadas para aclarar los aspectos específicos del </w:t>
      </w:r>
      <w:r w:rsidR="00342377" w:rsidRPr="009B0F1D">
        <w:rPr>
          <w:rFonts w:ascii="Arial" w:hAnsi="Arial" w:cs="Arial"/>
        </w:rPr>
        <w:t>ambiente habilitante</w:t>
      </w:r>
      <w:r w:rsidRPr="009B0F1D">
        <w:rPr>
          <w:rFonts w:ascii="Arial" w:hAnsi="Arial" w:cs="Arial"/>
        </w:rPr>
        <w:t xml:space="preserve"> que debe medir cada dimensión, permitiendo la recopilación de evidencia relevante y la asignación de puntuaciones apropiadas.</w:t>
      </w:r>
    </w:p>
    <w:p w14:paraId="6D7C4F4A" w14:textId="66443FD0" w:rsidR="00181689" w:rsidRPr="009B0F1D" w:rsidRDefault="00181689" w:rsidP="005565EF">
      <w:pPr>
        <w:spacing w:after="120" w:line="276" w:lineRule="auto"/>
        <w:jc w:val="both"/>
        <w:rPr>
          <w:rFonts w:ascii="Arial" w:hAnsi="Arial" w:cs="Arial"/>
        </w:rPr>
      </w:pPr>
      <w:r w:rsidRPr="009B0F1D">
        <w:rPr>
          <w:rFonts w:ascii="Arial" w:hAnsi="Arial" w:cs="Arial"/>
        </w:rPr>
        <w:t>El</w:t>
      </w:r>
      <w:r w:rsidR="00342377" w:rsidRPr="009B0F1D">
        <w:rPr>
          <w:rFonts w:ascii="Arial" w:hAnsi="Arial" w:cs="Arial"/>
        </w:rPr>
        <w:t xml:space="preserve"> </w:t>
      </w:r>
      <w:r w:rsidR="00752F08">
        <w:rPr>
          <w:rFonts w:ascii="Arial" w:hAnsi="Arial" w:cs="Arial"/>
        </w:rPr>
        <w:t>MR</w:t>
      </w:r>
      <w:r w:rsidR="00752F08" w:rsidRPr="009B0F1D">
        <w:rPr>
          <w:rFonts w:ascii="Arial" w:hAnsi="Arial" w:cs="Arial"/>
        </w:rPr>
        <w:t xml:space="preserve"> </w:t>
      </w:r>
      <w:r w:rsidRPr="009B0F1D">
        <w:rPr>
          <w:rFonts w:ascii="Arial" w:hAnsi="Arial" w:cs="Arial"/>
        </w:rPr>
        <w:t xml:space="preserve">debe asegurarse de que los panelistas reserven tiempo para prepararse adecuadamente, llegando con una puntuación propuesta para cada dimensión, que será debatida durante la discusión del panel. Aunque el resultado final será una puntuación consensuada para cada dimensión, acordada </w:t>
      </w:r>
      <w:r w:rsidR="00752F08">
        <w:rPr>
          <w:rFonts w:ascii="Arial" w:hAnsi="Arial" w:cs="Arial"/>
        </w:rPr>
        <w:t>durante</w:t>
      </w:r>
      <w:r w:rsidRPr="009B0F1D">
        <w:rPr>
          <w:rFonts w:ascii="Arial" w:hAnsi="Arial" w:cs="Arial"/>
        </w:rPr>
        <w:t xml:space="preserve"> la discusión, los panelistas deben estar preparados para presentar ejemplos relacionados con las dimensiones y sus </w:t>
      </w:r>
      <w:proofErr w:type="spellStart"/>
      <w:r w:rsidRPr="009B0F1D">
        <w:rPr>
          <w:rFonts w:ascii="Arial" w:hAnsi="Arial" w:cs="Arial"/>
        </w:rPr>
        <w:t>subpreguntas</w:t>
      </w:r>
      <w:proofErr w:type="spellEnd"/>
      <w:r w:rsidRPr="009B0F1D">
        <w:rPr>
          <w:rFonts w:ascii="Arial" w:hAnsi="Arial" w:cs="Arial"/>
        </w:rPr>
        <w:t>. Esto garantizará que todas las decisiones estén justificadas con evidencia.</w:t>
      </w:r>
    </w:p>
    <w:p w14:paraId="303F2CBF" w14:textId="596CC781" w:rsidR="00181689" w:rsidRPr="009B0F1D" w:rsidRDefault="00181689" w:rsidP="005565EF">
      <w:pPr>
        <w:spacing w:after="120" w:line="276" w:lineRule="auto"/>
        <w:jc w:val="both"/>
        <w:rPr>
          <w:rFonts w:ascii="Arial" w:hAnsi="Arial" w:cs="Arial"/>
        </w:rPr>
      </w:pPr>
      <w:r w:rsidRPr="009B0F1D">
        <w:rPr>
          <w:rFonts w:ascii="Arial" w:hAnsi="Arial" w:cs="Arial"/>
          <w:b/>
          <w:bCs/>
        </w:rPr>
        <w:t>Nota:</w:t>
      </w:r>
      <w:r w:rsidRPr="009B0F1D">
        <w:rPr>
          <w:rFonts w:ascii="Arial" w:hAnsi="Arial" w:cs="Arial"/>
        </w:rPr>
        <w:t xml:space="preserve"> Preparar adecuadamente a los panelistas es fundamental para obtener puntuaciones informadas y evidencia adecuada que respalde un informe robusto. Se recomienda compartir las instrucciones escritas con los panelistas </w:t>
      </w:r>
      <w:r w:rsidRPr="009B0F1D">
        <w:rPr>
          <w:rFonts w:ascii="Arial" w:hAnsi="Arial" w:cs="Arial"/>
          <w:b/>
          <w:bCs/>
        </w:rPr>
        <w:t>dos semanas antes</w:t>
      </w:r>
      <w:r w:rsidRPr="009B0F1D">
        <w:rPr>
          <w:rFonts w:ascii="Arial" w:hAnsi="Arial" w:cs="Arial"/>
        </w:rPr>
        <w:t xml:space="preserve"> de la discusión, así como realizar una sesión de orientación</w:t>
      </w:r>
      <w:r w:rsidR="00B44C58">
        <w:rPr>
          <w:rFonts w:ascii="Arial" w:hAnsi="Arial" w:cs="Arial"/>
        </w:rPr>
        <w:t xml:space="preserve"> (cuando sea posible)</w:t>
      </w:r>
      <w:r w:rsidRPr="009B0F1D">
        <w:rPr>
          <w:rFonts w:ascii="Arial" w:hAnsi="Arial" w:cs="Arial"/>
        </w:rPr>
        <w:t xml:space="preserve"> para presentar el proceso, el rol de los panelistas y la agenda de la discusión del panel. Esto garantizará su comprensión completa y les permitirá formular preguntas con antelación si tienen dudas. Esta sesión debe realizarse lo antes posible, permitiendo que los panelistas tengan </w:t>
      </w:r>
      <w:r w:rsidR="003A20A2">
        <w:rPr>
          <w:rFonts w:ascii="Arial" w:hAnsi="Arial" w:cs="Arial"/>
        </w:rPr>
        <w:t>suficiente tiempo</w:t>
      </w:r>
      <w:r w:rsidRPr="009B0F1D">
        <w:rPr>
          <w:rFonts w:ascii="Arial" w:hAnsi="Arial" w:cs="Arial"/>
        </w:rPr>
        <w:t xml:space="preserve"> para completar la tarjeta de puntuación, recopilar evidencia como justificación, y enviarla al</w:t>
      </w:r>
      <w:r w:rsidR="00342377" w:rsidRPr="009B0F1D">
        <w:rPr>
          <w:rFonts w:ascii="Arial" w:hAnsi="Arial" w:cs="Arial"/>
        </w:rPr>
        <w:t xml:space="preserve"> Miembro de la Red </w:t>
      </w:r>
      <w:r w:rsidRPr="009B0F1D">
        <w:rPr>
          <w:rFonts w:ascii="Arial" w:hAnsi="Arial" w:cs="Arial"/>
        </w:rPr>
        <w:t>antes de la discusión del panel.</w:t>
      </w:r>
    </w:p>
    <w:p w14:paraId="02A46412" w14:textId="08DFC1B6" w:rsidR="00181689" w:rsidRPr="009B0F1D" w:rsidRDefault="00181689" w:rsidP="005565EF">
      <w:pPr>
        <w:spacing w:after="120" w:line="276" w:lineRule="auto"/>
        <w:jc w:val="both"/>
        <w:rPr>
          <w:rFonts w:ascii="Arial" w:hAnsi="Arial" w:cs="Arial"/>
        </w:rPr>
      </w:pPr>
    </w:p>
    <w:p w14:paraId="779FC15B" w14:textId="2D19D446" w:rsidR="00181689" w:rsidRPr="009B0F1D" w:rsidRDefault="00181689" w:rsidP="005565EF">
      <w:pPr>
        <w:spacing w:after="120" w:line="276" w:lineRule="auto"/>
        <w:jc w:val="both"/>
        <w:rPr>
          <w:rFonts w:ascii="Arial" w:hAnsi="Arial" w:cs="Arial"/>
          <w:b/>
          <w:bCs/>
        </w:rPr>
      </w:pPr>
      <w:r w:rsidRPr="009B0F1D">
        <w:rPr>
          <w:rFonts w:ascii="Arial" w:hAnsi="Arial" w:cs="Arial"/>
          <w:b/>
          <w:bCs/>
        </w:rPr>
        <w:t xml:space="preserve">D. </w:t>
      </w:r>
      <w:r w:rsidR="00AF28B3">
        <w:rPr>
          <w:rFonts w:ascii="Arial" w:hAnsi="Arial" w:cs="Arial"/>
          <w:b/>
          <w:bCs/>
        </w:rPr>
        <w:t>REUNIÓN</w:t>
      </w:r>
      <w:r w:rsidRPr="009B0F1D">
        <w:rPr>
          <w:rFonts w:ascii="Arial" w:hAnsi="Arial" w:cs="Arial"/>
          <w:b/>
          <w:bCs/>
        </w:rPr>
        <w:t xml:space="preserve"> DEL PANEL DE EXPERTOS</w:t>
      </w:r>
    </w:p>
    <w:p w14:paraId="46C9B074" w14:textId="04EE2007" w:rsidR="00181689" w:rsidRPr="009B0F1D" w:rsidRDefault="00181689" w:rsidP="005565EF">
      <w:pPr>
        <w:spacing w:after="120" w:line="276" w:lineRule="auto"/>
        <w:jc w:val="both"/>
        <w:rPr>
          <w:rFonts w:ascii="Arial" w:hAnsi="Arial" w:cs="Arial"/>
        </w:rPr>
      </w:pPr>
      <w:r w:rsidRPr="009B0F1D">
        <w:rPr>
          <w:rFonts w:ascii="Arial" w:hAnsi="Arial" w:cs="Arial"/>
        </w:rPr>
        <w:t xml:space="preserve">El panel de expertos es crucial para el éxito y la credibilidad de esta evaluación. El panel deliberará sobre el </w:t>
      </w:r>
      <w:r w:rsidR="00342377" w:rsidRPr="009B0F1D">
        <w:rPr>
          <w:rFonts w:ascii="Arial" w:hAnsi="Arial" w:cs="Arial"/>
        </w:rPr>
        <w:t>ambiente habilitante</w:t>
      </w:r>
      <w:r w:rsidRPr="009B0F1D">
        <w:rPr>
          <w:rFonts w:ascii="Arial" w:hAnsi="Arial" w:cs="Arial"/>
        </w:rPr>
        <w:t xml:space="preserve"> en el país, y proporcionará retroalimentación e ideas, tanto individuales como colectivas, sobre las puntuaciones y justificaciones presentadas.</w:t>
      </w:r>
    </w:p>
    <w:p w14:paraId="42832E61" w14:textId="5820C335" w:rsidR="00181689" w:rsidRPr="009B0F1D" w:rsidRDefault="00181689" w:rsidP="005565EF">
      <w:pPr>
        <w:spacing w:after="120" w:line="276" w:lineRule="auto"/>
        <w:jc w:val="both"/>
        <w:rPr>
          <w:rFonts w:ascii="Arial" w:hAnsi="Arial" w:cs="Arial"/>
        </w:rPr>
      </w:pPr>
      <w:r w:rsidRPr="009B0F1D">
        <w:rPr>
          <w:rFonts w:ascii="Arial" w:hAnsi="Arial" w:cs="Arial"/>
        </w:rPr>
        <w:t>Cada</w:t>
      </w:r>
      <w:r w:rsidR="00342377" w:rsidRPr="009B0F1D">
        <w:rPr>
          <w:rFonts w:ascii="Arial" w:hAnsi="Arial" w:cs="Arial"/>
        </w:rPr>
        <w:t xml:space="preserve"> </w:t>
      </w:r>
      <w:r w:rsidR="00752F08">
        <w:rPr>
          <w:rFonts w:ascii="Arial" w:hAnsi="Arial" w:cs="Arial"/>
        </w:rPr>
        <w:t>MR</w:t>
      </w:r>
      <w:r w:rsidR="00752F08" w:rsidRPr="009B0F1D">
        <w:rPr>
          <w:rFonts w:ascii="Arial" w:hAnsi="Arial" w:cs="Arial"/>
        </w:rPr>
        <w:t xml:space="preserve"> </w:t>
      </w:r>
      <w:r w:rsidRPr="009B0F1D">
        <w:rPr>
          <w:rFonts w:ascii="Arial" w:hAnsi="Arial" w:cs="Arial"/>
        </w:rPr>
        <w:t xml:space="preserve">debe designar al menos un miembro del equipo como facilitador de la discusión, y al menos un investigador para preparar y proporcionar información secundaria a los panelistas. </w:t>
      </w:r>
      <w:proofErr w:type="gramStart"/>
      <w:r w:rsidRPr="009B0F1D">
        <w:rPr>
          <w:rFonts w:ascii="Arial" w:hAnsi="Arial" w:cs="Arial"/>
        </w:rPr>
        <w:t>Otros roles a desempeñar</w:t>
      </w:r>
      <w:proofErr w:type="gramEnd"/>
      <w:r w:rsidRPr="009B0F1D">
        <w:rPr>
          <w:rFonts w:ascii="Arial" w:hAnsi="Arial" w:cs="Arial"/>
        </w:rPr>
        <w:t xml:space="preserve"> por estos o por otros miembros del equipo</w:t>
      </w:r>
      <w:r w:rsidR="00904EEF" w:rsidRPr="009B0F1D">
        <w:rPr>
          <w:rFonts w:ascii="Arial" w:hAnsi="Arial" w:cs="Arial"/>
        </w:rPr>
        <w:t xml:space="preserve"> del</w:t>
      </w:r>
      <w:r w:rsidR="00342377" w:rsidRPr="009B0F1D">
        <w:rPr>
          <w:rFonts w:ascii="Arial" w:hAnsi="Arial" w:cs="Arial"/>
        </w:rPr>
        <w:t xml:space="preserve"> </w:t>
      </w:r>
      <w:r w:rsidR="00752F08">
        <w:rPr>
          <w:rFonts w:ascii="Arial" w:hAnsi="Arial" w:cs="Arial"/>
        </w:rPr>
        <w:t>MR</w:t>
      </w:r>
      <w:r w:rsidR="00752F08" w:rsidRPr="009B0F1D">
        <w:rPr>
          <w:rFonts w:ascii="Arial" w:hAnsi="Arial" w:cs="Arial"/>
        </w:rPr>
        <w:t xml:space="preserve"> </w:t>
      </w:r>
      <w:r w:rsidRPr="009B0F1D">
        <w:rPr>
          <w:rFonts w:ascii="Arial" w:hAnsi="Arial" w:cs="Arial"/>
        </w:rPr>
        <w:t>incluyen la orientación a los panelistas y la toma de notas durante la discusión.</w:t>
      </w:r>
    </w:p>
    <w:p w14:paraId="665CA072" w14:textId="77777777" w:rsidR="00181689" w:rsidRPr="009B0F1D" w:rsidRDefault="00181689" w:rsidP="005565EF">
      <w:pPr>
        <w:spacing w:after="120" w:line="276" w:lineRule="auto"/>
        <w:jc w:val="both"/>
        <w:rPr>
          <w:rFonts w:ascii="Arial" w:hAnsi="Arial" w:cs="Arial"/>
          <w:b/>
          <w:bCs/>
          <w:color w:val="1F3864" w:themeColor="accent1" w:themeShade="80"/>
        </w:rPr>
      </w:pPr>
      <w:r w:rsidRPr="009B0F1D">
        <w:rPr>
          <w:rFonts w:ascii="Arial" w:hAnsi="Arial" w:cs="Arial"/>
          <w:b/>
          <w:bCs/>
          <w:color w:val="1F3864" w:themeColor="accent1" w:themeShade="80"/>
        </w:rPr>
        <w:t>Durante la discusión del panel de expertos</w:t>
      </w:r>
    </w:p>
    <w:p w14:paraId="0A8435FF" w14:textId="77777777" w:rsidR="00181689" w:rsidRPr="009B0F1D" w:rsidRDefault="00181689" w:rsidP="005565EF">
      <w:pPr>
        <w:spacing w:after="120" w:line="276" w:lineRule="auto"/>
        <w:jc w:val="both"/>
        <w:rPr>
          <w:rFonts w:ascii="Arial" w:hAnsi="Arial" w:cs="Arial"/>
        </w:rPr>
      </w:pPr>
      <w:r w:rsidRPr="009B0F1D">
        <w:rPr>
          <w:rFonts w:ascii="Arial" w:hAnsi="Arial" w:cs="Arial"/>
          <w:b/>
          <w:bCs/>
        </w:rPr>
        <w:t>Paso 3: Finalización de las puntuaciones y justificaciones durante el panel de expertos</w:t>
      </w:r>
    </w:p>
    <w:p w14:paraId="0D181F6D" w14:textId="3232A61E" w:rsidR="00181689" w:rsidRPr="009B0F1D" w:rsidRDefault="00181689" w:rsidP="005565EF">
      <w:pPr>
        <w:spacing w:after="120" w:line="276" w:lineRule="auto"/>
        <w:jc w:val="both"/>
        <w:rPr>
          <w:rFonts w:ascii="Arial" w:hAnsi="Arial" w:cs="Arial"/>
        </w:rPr>
      </w:pPr>
      <w:r w:rsidRPr="009B0F1D">
        <w:rPr>
          <w:rFonts w:ascii="Arial" w:hAnsi="Arial" w:cs="Arial"/>
        </w:rPr>
        <w:t>El</w:t>
      </w:r>
      <w:r w:rsidR="00342377" w:rsidRPr="009B0F1D">
        <w:rPr>
          <w:rFonts w:ascii="Arial" w:hAnsi="Arial" w:cs="Arial"/>
        </w:rPr>
        <w:t xml:space="preserve"> </w:t>
      </w:r>
      <w:r w:rsidR="00752F08">
        <w:rPr>
          <w:rFonts w:ascii="Arial" w:hAnsi="Arial" w:cs="Arial"/>
        </w:rPr>
        <w:t>M</w:t>
      </w:r>
      <w:r w:rsidR="00752F08" w:rsidRPr="00B0199F">
        <w:rPr>
          <w:rFonts w:ascii="Arial" w:hAnsi="Arial" w:cs="Arial"/>
        </w:rPr>
        <w:t xml:space="preserve">R </w:t>
      </w:r>
      <w:r w:rsidRPr="00B0199F">
        <w:rPr>
          <w:rFonts w:ascii="Arial" w:hAnsi="Arial" w:cs="Arial"/>
        </w:rPr>
        <w:t>debe</w:t>
      </w:r>
      <w:r w:rsidRPr="009B0F1D">
        <w:rPr>
          <w:rFonts w:ascii="Arial" w:hAnsi="Arial" w:cs="Arial"/>
        </w:rPr>
        <w:t xml:space="preserve"> designar un </w:t>
      </w:r>
      <w:r w:rsidRPr="009B0F1D">
        <w:rPr>
          <w:rFonts w:ascii="Arial" w:hAnsi="Arial" w:cs="Arial"/>
          <w:b/>
          <w:bCs/>
        </w:rPr>
        <w:t>facilitador del panel</w:t>
      </w:r>
      <w:r w:rsidRPr="009B0F1D">
        <w:rPr>
          <w:rFonts w:ascii="Arial" w:hAnsi="Arial" w:cs="Arial"/>
        </w:rPr>
        <w:t xml:space="preserve"> para dirigir la discusión. Este rol es crucial, ya que el facilitador debe garantizar el cumplimiento estricto de las mejores prácticas para la conducción de discusiones de panel. Esto incluye:</w:t>
      </w:r>
    </w:p>
    <w:p w14:paraId="717A5D61" w14:textId="77777777" w:rsidR="00181689" w:rsidRPr="009B0F1D" w:rsidRDefault="00181689" w:rsidP="005565EF">
      <w:pPr>
        <w:numPr>
          <w:ilvl w:val="0"/>
          <w:numId w:val="7"/>
        </w:numPr>
        <w:spacing w:after="120" w:line="276" w:lineRule="auto"/>
        <w:jc w:val="both"/>
        <w:rPr>
          <w:rFonts w:ascii="Arial" w:hAnsi="Arial" w:cs="Arial"/>
        </w:rPr>
      </w:pPr>
      <w:r w:rsidRPr="009B0F1D">
        <w:rPr>
          <w:rFonts w:ascii="Arial" w:hAnsi="Arial" w:cs="Arial"/>
        </w:rPr>
        <w:t>Especificar las expectativas sobre las discusiones y los resultados.</w:t>
      </w:r>
    </w:p>
    <w:p w14:paraId="7E5D48B2" w14:textId="77777777" w:rsidR="00181689" w:rsidRPr="009B0F1D" w:rsidRDefault="00181689" w:rsidP="005565EF">
      <w:pPr>
        <w:numPr>
          <w:ilvl w:val="0"/>
          <w:numId w:val="7"/>
        </w:numPr>
        <w:spacing w:after="120" w:line="276" w:lineRule="auto"/>
        <w:jc w:val="both"/>
        <w:rPr>
          <w:rFonts w:ascii="Arial" w:hAnsi="Arial" w:cs="Arial"/>
        </w:rPr>
      </w:pPr>
      <w:r w:rsidRPr="009B0F1D">
        <w:rPr>
          <w:rFonts w:ascii="Arial" w:hAnsi="Arial" w:cs="Arial"/>
        </w:rPr>
        <w:t>Informar a los expertos, con antelación, sobre las opciones de anonimato o confidencialidad.</w:t>
      </w:r>
    </w:p>
    <w:p w14:paraId="5BBADB9C" w14:textId="77777777" w:rsidR="00181689" w:rsidRPr="009B0F1D" w:rsidRDefault="00181689" w:rsidP="005565EF">
      <w:pPr>
        <w:numPr>
          <w:ilvl w:val="0"/>
          <w:numId w:val="7"/>
        </w:numPr>
        <w:spacing w:after="120" w:line="276" w:lineRule="auto"/>
        <w:jc w:val="both"/>
        <w:rPr>
          <w:rFonts w:ascii="Arial" w:hAnsi="Arial" w:cs="Arial"/>
        </w:rPr>
      </w:pPr>
      <w:r w:rsidRPr="009B0F1D">
        <w:rPr>
          <w:rFonts w:ascii="Arial" w:hAnsi="Arial" w:cs="Arial"/>
        </w:rPr>
        <w:t xml:space="preserve">Mantener la </w:t>
      </w:r>
      <w:r w:rsidRPr="009B0F1D">
        <w:rPr>
          <w:rFonts w:ascii="Arial" w:hAnsi="Arial" w:cs="Arial"/>
          <w:b/>
          <w:bCs/>
        </w:rPr>
        <w:t>imparcialidad</w:t>
      </w:r>
      <w:r w:rsidRPr="009B0F1D">
        <w:rPr>
          <w:rFonts w:ascii="Arial" w:hAnsi="Arial" w:cs="Arial"/>
        </w:rPr>
        <w:t xml:space="preserve"> durante toda la discusión.</w:t>
      </w:r>
    </w:p>
    <w:p w14:paraId="2A87CEC2" w14:textId="77777777" w:rsidR="00181689" w:rsidRPr="009B0F1D" w:rsidRDefault="00181689" w:rsidP="005565EF">
      <w:pPr>
        <w:numPr>
          <w:ilvl w:val="0"/>
          <w:numId w:val="7"/>
        </w:numPr>
        <w:spacing w:after="120" w:line="276" w:lineRule="auto"/>
        <w:jc w:val="both"/>
        <w:rPr>
          <w:rFonts w:ascii="Arial" w:hAnsi="Arial" w:cs="Arial"/>
        </w:rPr>
      </w:pPr>
      <w:r w:rsidRPr="009B0F1D">
        <w:rPr>
          <w:rFonts w:ascii="Arial" w:hAnsi="Arial" w:cs="Arial"/>
        </w:rPr>
        <w:lastRenderedPageBreak/>
        <w:t>Estructurar y formular las preguntas con precisión.</w:t>
      </w:r>
    </w:p>
    <w:p w14:paraId="3713AF36" w14:textId="77777777" w:rsidR="00181689" w:rsidRPr="009B0F1D" w:rsidRDefault="00181689" w:rsidP="005565EF">
      <w:pPr>
        <w:numPr>
          <w:ilvl w:val="0"/>
          <w:numId w:val="7"/>
        </w:numPr>
        <w:spacing w:after="120" w:line="276" w:lineRule="auto"/>
        <w:jc w:val="both"/>
        <w:rPr>
          <w:rFonts w:ascii="Arial" w:hAnsi="Arial" w:cs="Arial"/>
        </w:rPr>
      </w:pPr>
      <w:proofErr w:type="gramStart"/>
      <w:r w:rsidRPr="009B0F1D">
        <w:rPr>
          <w:rFonts w:ascii="Arial" w:hAnsi="Arial" w:cs="Arial"/>
        </w:rPr>
        <w:t>Asegurar</w:t>
      </w:r>
      <w:proofErr w:type="gramEnd"/>
      <w:r w:rsidRPr="009B0F1D">
        <w:rPr>
          <w:rFonts w:ascii="Arial" w:hAnsi="Arial" w:cs="Arial"/>
        </w:rPr>
        <w:t xml:space="preserve"> que las discusiones se mantengan </w:t>
      </w:r>
      <w:r w:rsidRPr="009B0F1D">
        <w:rPr>
          <w:rFonts w:ascii="Arial" w:hAnsi="Arial" w:cs="Arial"/>
          <w:b/>
          <w:bCs/>
        </w:rPr>
        <w:t>enfocadas</w:t>
      </w:r>
      <w:r w:rsidRPr="009B0F1D">
        <w:rPr>
          <w:rFonts w:ascii="Arial" w:hAnsi="Arial" w:cs="Arial"/>
        </w:rPr>
        <w:t xml:space="preserve"> y fomentar un diálogo abierto y respetuoso.</w:t>
      </w:r>
    </w:p>
    <w:p w14:paraId="09357014" w14:textId="77777777" w:rsidR="00181689" w:rsidRPr="009B0F1D" w:rsidRDefault="00181689" w:rsidP="005565EF">
      <w:pPr>
        <w:spacing w:after="120" w:line="276" w:lineRule="auto"/>
        <w:jc w:val="both"/>
        <w:rPr>
          <w:rFonts w:ascii="Arial" w:hAnsi="Arial" w:cs="Arial"/>
        </w:rPr>
      </w:pPr>
      <w:r w:rsidRPr="009B0F1D">
        <w:rPr>
          <w:rFonts w:ascii="Arial" w:hAnsi="Arial" w:cs="Arial"/>
        </w:rPr>
        <w:t>El facilitador debe estar preparado para manejar cualquier tensión o desacuerdo que surja entre los panelistas.</w:t>
      </w:r>
    </w:p>
    <w:p w14:paraId="6219715A" w14:textId="0775C991" w:rsidR="00181689" w:rsidRPr="009B0F1D" w:rsidRDefault="00181689" w:rsidP="005565EF">
      <w:pPr>
        <w:spacing w:after="120" w:line="276" w:lineRule="auto"/>
        <w:jc w:val="both"/>
        <w:rPr>
          <w:rFonts w:ascii="Arial" w:hAnsi="Arial" w:cs="Arial"/>
        </w:rPr>
      </w:pPr>
      <w:r w:rsidRPr="009B0F1D">
        <w:rPr>
          <w:rFonts w:ascii="Arial" w:hAnsi="Arial" w:cs="Arial"/>
        </w:rPr>
        <w:t xml:space="preserve">Antes de iniciar la discusión, el facilitador o investigador debe presentar las dimensiones, definiciones y referencias de puntuación de cada principio del </w:t>
      </w:r>
      <w:r w:rsidR="00342377" w:rsidRPr="009B0F1D">
        <w:rPr>
          <w:rFonts w:ascii="Arial" w:hAnsi="Arial" w:cs="Arial"/>
        </w:rPr>
        <w:t xml:space="preserve">ambiente habilitante </w:t>
      </w:r>
      <w:r w:rsidRPr="009B0F1D">
        <w:rPr>
          <w:rFonts w:ascii="Arial" w:hAnsi="Arial" w:cs="Arial"/>
        </w:rPr>
        <w:t xml:space="preserve">para garantizar una evaluación uniforme y objetiva. El facilitador debe estar muy familiarizado con las definiciones contenidas en el documento de metodología </w:t>
      </w:r>
      <w:r w:rsidR="00B0199F">
        <w:rPr>
          <w:rFonts w:ascii="Arial" w:hAnsi="Arial" w:cs="Arial"/>
        </w:rPr>
        <w:t>de IEP (Anexo 4)</w:t>
      </w:r>
      <w:r w:rsidRPr="009B0F1D">
        <w:rPr>
          <w:rFonts w:ascii="Arial" w:hAnsi="Arial" w:cs="Arial"/>
        </w:rPr>
        <w:t>, ya que será responsable de asegurar que la discusión se mantenga dentro de los límites de lo que estos informes deben medir.</w:t>
      </w:r>
    </w:p>
    <w:p w14:paraId="7B0E02BB" w14:textId="77777777" w:rsidR="00181689" w:rsidRPr="009B0F1D" w:rsidRDefault="00181689" w:rsidP="005565EF">
      <w:pPr>
        <w:spacing w:after="120" w:line="276" w:lineRule="auto"/>
        <w:jc w:val="both"/>
        <w:rPr>
          <w:rFonts w:ascii="Arial" w:hAnsi="Arial" w:cs="Arial"/>
          <w:b/>
          <w:bCs/>
        </w:rPr>
      </w:pPr>
      <w:r w:rsidRPr="009B0F1D">
        <w:rPr>
          <w:rFonts w:ascii="Arial" w:hAnsi="Arial" w:cs="Arial"/>
          <w:b/>
          <w:bCs/>
        </w:rPr>
        <w:t>Estructura de la discusión del panel</w:t>
      </w:r>
    </w:p>
    <w:p w14:paraId="638BB0D9" w14:textId="7270540D" w:rsidR="00181689" w:rsidRPr="009B0F1D" w:rsidRDefault="00181689" w:rsidP="005565EF">
      <w:pPr>
        <w:spacing w:after="120" w:line="276" w:lineRule="auto"/>
        <w:jc w:val="both"/>
        <w:rPr>
          <w:rFonts w:ascii="Arial" w:hAnsi="Arial" w:cs="Arial"/>
        </w:rPr>
      </w:pPr>
      <w:r w:rsidRPr="009B0F1D">
        <w:rPr>
          <w:rFonts w:ascii="Arial" w:hAnsi="Arial" w:cs="Arial"/>
        </w:rPr>
        <w:t>La discusión debe abordar cada dimensión de los Principios 2 a</w:t>
      </w:r>
      <w:r w:rsidR="00BB514D" w:rsidRPr="009B0F1D">
        <w:rPr>
          <w:rFonts w:ascii="Arial" w:hAnsi="Arial" w:cs="Arial"/>
        </w:rPr>
        <w:t>l</w:t>
      </w:r>
      <w:r w:rsidRPr="009B0F1D">
        <w:rPr>
          <w:rFonts w:ascii="Arial" w:hAnsi="Arial" w:cs="Arial"/>
        </w:rPr>
        <w:t xml:space="preserve"> 6, liderada por el facilitador, donde cada panelista tiene la oportunidad de:</w:t>
      </w:r>
    </w:p>
    <w:p w14:paraId="010C6AD9" w14:textId="77777777" w:rsidR="00181689" w:rsidRPr="009B0F1D" w:rsidRDefault="00181689" w:rsidP="005565EF">
      <w:pPr>
        <w:numPr>
          <w:ilvl w:val="0"/>
          <w:numId w:val="8"/>
        </w:numPr>
        <w:spacing w:after="120" w:line="276" w:lineRule="auto"/>
        <w:jc w:val="both"/>
        <w:rPr>
          <w:rFonts w:ascii="Arial" w:hAnsi="Arial" w:cs="Arial"/>
        </w:rPr>
      </w:pPr>
      <w:r w:rsidRPr="009B0F1D">
        <w:rPr>
          <w:rFonts w:ascii="Arial" w:hAnsi="Arial" w:cs="Arial"/>
        </w:rPr>
        <w:t>Proponer su puntuación (1-5).</w:t>
      </w:r>
    </w:p>
    <w:p w14:paraId="546BBD87" w14:textId="77777777" w:rsidR="00181689" w:rsidRPr="009B0F1D" w:rsidRDefault="00181689" w:rsidP="005565EF">
      <w:pPr>
        <w:numPr>
          <w:ilvl w:val="0"/>
          <w:numId w:val="8"/>
        </w:numPr>
        <w:spacing w:after="120" w:line="276" w:lineRule="auto"/>
        <w:jc w:val="both"/>
        <w:rPr>
          <w:rFonts w:ascii="Arial" w:hAnsi="Arial" w:cs="Arial"/>
        </w:rPr>
      </w:pPr>
      <w:r w:rsidRPr="009B0F1D">
        <w:rPr>
          <w:rFonts w:ascii="Arial" w:hAnsi="Arial" w:cs="Arial"/>
        </w:rPr>
        <w:t>Discutir la evidencia que utilizó para determinar dicha puntuación.</w:t>
      </w:r>
    </w:p>
    <w:p w14:paraId="4452D4D0" w14:textId="42EA19B7" w:rsidR="00181689" w:rsidRPr="009B0F1D" w:rsidRDefault="00181689" w:rsidP="005565EF">
      <w:pPr>
        <w:spacing w:after="120" w:line="276" w:lineRule="auto"/>
        <w:jc w:val="both"/>
        <w:rPr>
          <w:rFonts w:ascii="Arial" w:hAnsi="Arial" w:cs="Arial"/>
        </w:rPr>
      </w:pPr>
      <w:r w:rsidRPr="009B0F1D">
        <w:rPr>
          <w:rFonts w:ascii="Arial" w:hAnsi="Arial" w:cs="Arial"/>
        </w:rPr>
        <w:t xml:space="preserve">Al finalizar la discusión de cada dimensión, el facilitador propondrá una puntuación consensuada basada en </w:t>
      </w:r>
      <w:r w:rsidR="00A02AE8">
        <w:rPr>
          <w:rFonts w:ascii="Arial" w:hAnsi="Arial" w:cs="Arial"/>
        </w:rPr>
        <w:t xml:space="preserve">el grado de persuasión </w:t>
      </w:r>
      <w:r w:rsidRPr="009B0F1D">
        <w:rPr>
          <w:rFonts w:ascii="Arial" w:hAnsi="Arial" w:cs="Arial"/>
        </w:rPr>
        <w:t>relativa de la evidencia presentada. No se trata simplemente de adoptar la puntuación más común, ya que algunos panelistas pueden aportar evidencia más convincente que otros.</w:t>
      </w:r>
    </w:p>
    <w:p w14:paraId="38BAFCAA" w14:textId="648A1E84" w:rsidR="00181689" w:rsidRPr="009B0F1D" w:rsidRDefault="00181689" w:rsidP="005565EF">
      <w:pPr>
        <w:spacing w:after="120" w:line="276" w:lineRule="auto"/>
        <w:jc w:val="both"/>
        <w:rPr>
          <w:rFonts w:ascii="Arial" w:hAnsi="Arial" w:cs="Arial"/>
        </w:rPr>
      </w:pPr>
      <w:r w:rsidRPr="009B0F1D">
        <w:rPr>
          <w:rFonts w:ascii="Arial" w:hAnsi="Arial" w:cs="Arial"/>
        </w:rPr>
        <w:t>Se debe alentar a los panelistas a ser flexibles en la búsqueda de una puntuación consensuada. Se debe recordar que las puntuaciones enteras no capturan perfectamente la complejidad de un entorno nacional, por lo que, cuando la realidad abarca varias categorías, se debe seleccionar la puntuación que mejor se ajuste</w:t>
      </w:r>
      <w:r w:rsidR="009C38C6" w:rsidRPr="009B0F1D">
        <w:rPr>
          <w:rFonts w:ascii="Arial" w:hAnsi="Arial" w:cs="Arial"/>
        </w:rPr>
        <w:t xml:space="preserve">, es decir, aquella que más se asemeje a la situación </w:t>
      </w:r>
      <w:proofErr w:type="gramStart"/>
      <w:r w:rsidR="009C38C6" w:rsidRPr="009B0F1D">
        <w:rPr>
          <w:rFonts w:ascii="Arial" w:hAnsi="Arial" w:cs="Arial"/>
        </w:rPr>
        <w:t>en relación a</w:t>
      </w:r>
      <w:proofErr w:type="gramEnd"/>
      <w:r w:rsidR="009C38C6" w:rsidRPr="009B0F1D">
        <w:rPr>
          <w:rFonts w:ascii="Arial" w:hAnsi="Arial" w:cs="Arial"/>
        </w:rPr>
        <w:t xml:space="preserve"> las otras opciones de puntuación</w:t>
      </w:r>
      <w:r w:rsidRPr="009B0F1D">
        <w:rPr>
          <w:rFonts w:ascii="Arial" w:hAnsi="Arial" w:cs="Arial"/>
        </w:rPr>
        <w:t>.</w:t>
      </w:r>
    </w:p>
    <w:p w14:paraId="7464A037" w14:textId="5EE74295" w:rsidR="00181689" w:rsidRPr="009B0F1D" w:rsidRDefault="009C38C6" w:rsidP="005565EF">
      <w:pPr>
        <w:spacing w:after="120" w:line="276" w:lineRule="auto"/>
        <w:jc w:val="both"/>
        <w:rPr>
          <w:rFonts w:ascii="Arial" w:hAnsi="Arial" w:cs="Arial"/>
        </w:rPr>
      </w:pPr>
      <w:r w:rsidRPr="009B0F1D">
        <w:rPr>
          <w:rFonts w:ascii="Arial" w:hAnsi="Arial" w:cs="Arial"/>
        </w:rPr>
        <w:t>Por favor, consult</w:t>
      </w:r>
      <w:r w:rsidR="00956C2B">
        <w:rPr>
          <w:rFonts w:ascii="Arial" w:hAnsi="Arial" w:cs="Arial"/>
        </w:rPr>
        <w:t xml:space="preserve">e las </w:t>
      </w:r>
      <w:proofErr w:type="spellStart"/>
      <w:r w:rsidR="00956C2B">
        <w:rPr>
          <w:rFonts w:ascii="Arial" w:hAnsi="Arial" w:cs="Arial"/>
        </w:rPr>
        <w:t>siguentes</w:t>
      </w:r>
      <w:proofErr w:type="spellEnd"/>
      <w:r w:rsidRPr="009B0F1D">
        <w:rPr>
          <w:rFonts w:ascii="Arial" w:hAnsi="Arial" w:cs="Arial"/>
        </w:rPr>
        <w:t xml:space="preserve"> las p</w:t>
      </w:r>
      <w:r w:rsidR="00181689" w:rsidRPr="009B0F1D">
        <w:rPr>
          <w:rFonts w:ascii="Arial" w:hAnsi="Arial" w:cs="Arial"/>
        </w:rPr>
        <w:t>autas para facilitar el panel</w:t>
      </w:r>
      <w:r w:rsidRPr="009B0F1D">
        <w:rPr>
          <w:rFonts w:ascii="Arial" w:hAnsi="Arial" w:cs="Arial"/>
        </w:rPr>
        <w:t xml:space="preserve">. </w:t>
      </w:r>
      <w:r w:rsidR="00181689" w:rsidRPr="009B0F1D">
        <w:rPr>
          <w:rFonts w:ascii="Arial" w:hAnsi="Arial" w:cs="Arial"/>
        </w:rPr>
        <w:t xml:space="preserve">Algunas reglas de oro </w:t>
      </w:r>
      <w:proofErr w:type="gramStart"/>
      <w:r w:rsidR="00181689" w:rsidRPr="009B0F1D">
        <w:rPr>
          <w:rFonts w:ascii="Arial" w:hAnsi="Arial" w:cs="Arial"/>
        </w:rPr>
        <w:t>a</w:t>
      </w:r>
      <w:proofErr w:type="gramEnd"/>
      <w:r w:rsidR="00181689" w:rsidRPr="009B0F1D">
        <w:rPr>
          <w:rFonts w:ascii="Arial" w:hAnsi="Arial" w:cs="Arial"/>
        </w:rPr>
        <w:t xml:space="preserve"> tener en cuenta:</w:t>
      </w:r>
    </w:p>
    <w:p w14:paraId="536347EE" w14:textId="29E967AF" w:rsidR="00181689" w:rsidRPr="009B0F1D" w:rsidRDefault="00181689" w:rsidP="005565EF">
      <w:pPr>
        <w:numPr>
          <w:ilvl w:val="0"/>
          <w:numId w:val="9"/>
        </w:numPr>
        <w:spacing w:after="120" w:line="276" w:lineRule="auto"/>
        <w:jc w:val="both"/>
        <w:rPr>
          <w:rFonts w:ascii="Arial" w:hAnsi="Arial" w:cs="Arial"/>
        </w:rPr>
      </w:pPr>
      <w:r w:rsidRPr="009B0F1D">
        <w:rPr>
          <w:rFonts w:ascii="Arial" w:hAnsi="Arial" w:cs="Arial"/>
        </w:rPr>
        <w:t>Los participantes deben sentirse libres de responder</w:t>
      </w:r>
      <w:r w:rsidR="00967AFF" w:rsidRPr="009B0F1D">
        <w:rPr>
          <w:rFonts w:ascii="Arial" w:hAnsi="Arial" w:cs="Arial"/>
        </w:rPr>
        <w:t xml:space="preserve"> las preguntas</w:t>
      </w:r>
      <w:r w:rsidRPr="009B0F1D">
        <w:rPr>
          <w:rFonts w:ascii="Arial" w:hAnsi="Arial" w:cs="Arial"/>
        </w:rPr>
        <w:t xml:space="preserve">: </w:t>
      </w:r>
      <w:r w:rsidR="00967AFF" w:rsidRPr="009B0F1D">
        <w:rPr>
          <w:rFonts w:ascii="Arial" w:hAnsi="Arial" w:cs="Arial"/>
        </w:rPr>
        <w:t>todas las respuestas son válida</w:t>
      </w:r>
      <w:r w:rsidR="00A02AE8">
        <w:rPr>
          <w:rFonts w:ascii="Arial" w:hAnsi="Arial" w:cs="Arial"/>
        </w:rPr>
        <w:t>s</w:t>
      </w:r>
      <w:r w:rsidR="00967AFF" w:rsidRPr="009B0F1D">
        <w:rPr>
          <w:rFonts w:ascii="Arial" w:hAnsi="Arial" w:cs="Arial"/>
        </w:rPr>
        <w:t xml:space="preserve">; </w:t>
      </w:r>
      <w:r w:rsidRPr="009B0F1D">
        <w:rPr>
          <w:rFonts w:ascii="Arial" w:hAnsi="Arial" w:cs="Arial"/>
        </w:rPr>
        <w:t>no hay respuestas correctas o incorrectas.</w:t>
      </w:r>
    </w:p>
    <w:p w14:paraId="22CB494F" w14:textId="77777777" w:rsidR="00181689" w:rsidRPr="009B0F1D" w:rsidRDefault="00181689" w:rsidP="005565EF">
      <w:pPr>
        <w:numPr>
          <w:ilvl w:val="0"/>
          <w:numId w:val="9"/>
        </w:numPr>
        <w:spacing w:after="120" w:line="276" w:lineRule="auto"/>
        <w:jc w:val="both"/>
        <w:rPr>
          <w:rFonts w:ascii="Arial" w:hAnsi="Arial" w:cs="Arial"/>
        </w:rPr>
      </w:pPr>
      <w:r w:rsidRPr="009B0F1D">
        <w:rPr>
          <w:rFonts w:ascii="Arial" w:hAnsi="Arial" w:cs="Arial"/>
        </w:rPr>
        <w:t>Las opiniones de todos los participantes deben ser respetadas, incluso en caso de desacuerdo.</w:t>
      </w:r>
    </w:p>
    <w:p w14:paraId="6BC818FD" w14:textId="77777777" w:rsidR="00181689" w:rsidRPr="009B0F1D" w:rsidRDefault="00181689" w:rsidP="005565EF">
      <w:pPr>
        <w:numPr>
          <w:ilvl w:val="0"/>
          <w:numId w:val="9"/>
        </w:numPr>
        <w:spacing w:after="120" w:line="276" w:lineRule="auto"/>
        <w:jc w:val="both"/>
        <w:rPr>
          <w:rFonts w:ascii="Arial" w:hAnsi="Arial" w:cs="Arial"/>
        </w:rPr>
      </w:pPr>
      <w:r w:rsidRPr="009B0F1D">
        <w:rPr>
          <w:rFonts w:ascii="Arial" w:hAnsi="Arial" w:cs="Arial"/>
        </w:rPr>
        <w:t>Formular preguntas abiertas que fomenten la interacción, en lugar de preguntas cerradas de "sí" o "no".</w:t>
      </w:r>
    </w:p>
    <w:p w14:paraId="76739213" w14:textId="77777777" w:rsidR="00181689" w:rsidRPr="009B0F1D" w:rsidRDefault="00181689" w:rsidP="005565EF">
      <w:pPr>
        <w:numPr>
          <w:ilvl w:val="0"/>
          <w:numId w:val="9"/>
        </w:numPr>
        <w:spacing w:after="120" w:line="276" w:lineRule="auto"/>
        <w:jc w:val="both"/>
        <w:rPr>
          <w:rFonts w:ascii="Arial" w:hAnsi="Arial" w:cs="Arial"/>
        </w:rPr>
      </w:pPr>
      <w:r w:rsidRPr="009B0F1D">
        <w:rPr>
          <w:rFonts w:ascii="Arial" w:hAnsi="Arial" w:cs="Arial"/>
        </w:rPr>
        <w:t>Mantener imparcialidad en todo momento.</w:t>
      </w:r>
    </w:p>
    <w:p w14:paraId="4AB7DFF5" w14:textId="77777777" w:rsidR="00181689" w:rsidRPr="009B0F1D" w:rsidRDefault="00181689" w:rsidP="005565EF">
      <w:pPr>
        <w:numPr>
          <w:ilvl w:val="0"/>
          <w:numId w:val="9"/>
        </w:numPr>
        <w:spacing w:after="120" w:line="276" w:lineRule="auto"/>
        <w:jc w:val="both"/>
        <w:rPr>
          <w:rFonts w:ascii="Arial" w:hAnsi="Arial" w:cs="Arial"/>
        </w:rPr>
      </w:pPr>
      <w:r w:rsidRPr="009B0F1D">
        <w:rPr>
          <w:rFonts w:ascii="Arial" w:hAnsi="Arial" w:cs="Arial"/>
        </w:rPr>
        <w:t>Finalizar la discusión resumiendo los puntos principales y, si hay tiempo, invitar a los participantes a reflexionar sobre estos puntos y compartir pensamientos adicionales.</w:t>
      </w:r>
    </w:p>
    <w:p w14:paraId="7F5ABD14" w14:textId="00D800C5" w:rsidR="00967AFF" w:rsidRPr="009B0F1D" w:rsidRDefault="00967AFF" w:rsidP="005565EF">
      <w:pPr>
        <w:numPr>
          <w:ilvl w:val="0"/>
          <w:numId w:val="9"/>
        </w:numPr>
        <w:spacing w:after="120" w:line="276" w:lineRule="auto"/>
        <w:jc w:val="both"/>
        <w:rPr>
          <w:rFonts w:ascii="Arial" w:hAnsi="Arial" w:cs="Arial"/>
        </w:rPr>
      </w:pPr>
      <w:r w:rsidRPr="009B0F1D">
        <w:rPr>
          <w:rFonts w:ascii="Arial" w:hAnsi="Arial" w:cs="Arial"/>
        </w:rPr>
        <w:t>Informar a los participantes de que sus comentarios se tendrán en cuenta antes del fin de la evaluación.</w:t>
      </w:r>
    </w:p>
    <w:p w14:paraId="0B1799FE" w14:textId="675C030E" w:rsidR="00181689" w:rsidRPr="009B0F1D" w:rsidRDefault="00181689" w:rsidP="005565EF">
      <w:pPr>
        <w:spacing w:after="120" w:line="276" w:lineRule="auto"/>
        <w:jc w:val="both"/>
        <w:rPr>
          <w:rFonts w:ascii="Arial" w:hAnsi="Arial" w:cs="Arial"/>
        </w:rPr>
      </w:pPr>
    </w:p>
    <w:p w14:paraId="39CC6DE5" w14:textId="1B8799F8" w:rsidR="00AF28B3" w:rsidRDefault="00AF28B3" w:rsidP="005565EF">
      <w:pPr>
        <w:spacing w:after="120" w:line="276" w:lineRule="auto"/>
        <w:jc w:val="both"/>
        <w:rPr>
          <w:rFonts w:ascii="Arial" w:hAnsi="Arial" w:cs="Arial"/>
        </w:rPr>
      </w:pPr>
      <w:r w:rsidRPr="00AF28B3">
        <w:rPr>
          <w:rFonts w:ascii="Arial" w:hAnsi="Arial" w:cs="Arial"/>
        </w:rPr>
        <w:lastRenderedPageBreak/>
        <w:t xml:space="preserve">Es importante tomar notas de los comentarios durante el debate. Se recomienda que el investigador esté presente en el panel de debate y actúe como tomador de notas, para asegurarse de seguir los debates e incorporar los comentarios y las aportaciones proporcionadas en la puntuación final. Esta división del trabajo permite que el facilitador se centre en facilitar los debates y que el investigador </w:t>
      </w:r>
      <w:r w:rsidR="00736F59">
        <w:rPr>
          <w:rFonts w:ascii="Arial" w:hAnsi="Arial" w:cs="Arial"/>
        </w:rPr>
        <w:t xml:space="preserve">pueda intervenir en la discusión </w:t>
      </w:r>
      <w:r w:rsidRPr="00AF28B3">
        <w:rPr>
          <w:rFonts w:ascii="Arial" w:hAnsi="Arial" w:cs="Arial"/>
        </w:rPr>
        <w:t>tome notas para finalizar las puntuaciones.</w:t>
      </w:r>
    </w:p>
    <w:p w14:paraId="029D8F73" w14:textId="0594D56D" w:rsidR="00181689" w:rsidRPr="009B0F1D" w:rsidRDefault="00181689" w:rsidP="005565EF">
      <w:pPr>
        <w:spacing w:after="120" w:line="276" w:lineRule="auto"/>
        <w:jc w:val="both"/>
        <w:rPr>
          <w:rFonts w:ascii="Arial" w:hAnsi="Arial" w:cs="Arial"/>
        </w:rPr>
      </w:pPr>
      <w:r w:rsidRPr="009B0F1D">
        <w:rPr>
          <w:rFonts w:ascii="Arial" w:hAnsi="Arial" w:cs="Arial"/>
        </w:rPr>
        <w:t>Se recomienda dedicar</w:t>
      </w:r>
      <w:r w:rsidR="00967AFF" w:rsidRPr="009B0F1D">
        <w:rPr>
          <w:rFonts w:ascii="Arial" w:hAnsi="Arial" w:cs="Arial"/>
        </w:rPr>
        <w:t xml:space="preserve"> un máximo de</w:t>
      </w:r>
      <w:r w:rsidRPr="009B0F1D">
        <w:rPr>
          <w:rFonts w:ascii="Arial" w:hAnsi="Arial" w:cs="Arial"/>
        </w:rPr>
        <w:t xml:space="preserve"> una hora por principio (cinco horas en total)</w:t>
      </w:r>
      <w:r w:rsidR="00967AFF" w:rsidRPr="009B0F1D">
        <w:rPr>
          <w:rFonts w:ascii="Arial" w:hAnsi="Arial" w:cs="Arial"/>
        </w:rPr>
        <w:t>. Considerando que hay tres dimensiones por principio,</w:t>
      </w:r>
      <w:r w:rsidRPr="009B0F1D">
        <w:rPr>
          <w:rFonts w:ascii="Arial" w:hAnsi="Arial" w:cs="Arial"/>
        </w:rPr>
        <w:t xml:space="preserve"> </w:t>
      </w:r>
      <w:r w:rsidR="00967AFF" w:rsidRPr="009B0F1D">
        <w:rPr>
          <w:rFonts w:ascii="Arial" w:hAnsi="Arial" w:cs="Arial"/>
        </w:rPr>
        <w:t>hay</w:t>
      </w:r>
      <w:r w:rsidRPr="009B0F1D">
        <w:rPr>
          <w:rFonts w:ascii="Arial" w:hAnsi="Arial" w:cs="Arial"/>
        </w:rPr>
        <w:t xml:space="preserve"> aproximadamente 20 minutos por dimensión. </w:t>
      </w:r>
      <w:r w:rsidR="00967AFF" w:rsidRPr="009B0F1D">
        <w:rPr>
          <w:rFonts w:ascii="Arial" w:hAnsi="Arial" w:cs="Arial"/>
        </w:rPr>
        <w:t xml:space="preserve">Este tiempo debería ser suficiente para que todos los miembros del panel tengan ocasión de hablar brevemente. </w:t>
      </w:r>
      <w:r w:rsidRPr="009B0F1D">
        <w:rPr>
          <w:rFonts w:ascii="Arial" w:hAnsi="Arial" w:cs="Arial"/>
        </w:rPr>
        <w:t>Si no se logra un consenso en este tiempo</w:t>
      </w:r>
      <w:r w:rsidR="00967AFF" w:rsidRPr="009B0F1D">
        <w:rPr>
          <w:rFonts w:ascii="Arial" w:hAnsi="Arial" w:cs="Arial"/>
        </w:rPr>
        <w:t xml:space="preserve"> o si las discusiones se extienden más allá del tiempo establecido</w:t>
      </w:r>
      <w:r w:rsidRPr="009B0F1D">
        <w:rPr>
          <w:rFonts w:ascii="Arial" w:hAnsi="Arial" w:cs="Arial"/>
        </w:rPr>
        <w:t xml:space="preserve">, el facilitador puede recordar a los panelistas que todas las tarjetas de puntuación con sus propuestas ya han sido recibidas y serán consideradas por el </w:t>
      </w:r>
      <w:r w:rsidR="00342377" w:rsidRPr="009B0F1D">
        <w:rPr>
          <w:rFonts w:ascii="Arial" w:hAnsi="Arial" w:cs="Arial"/>
        </w:rPr>
        <w:t>Miembro de la Red</w:t>
      </w:r>
      <w:r w:rsidR="00967AFF" w:rsidRPr="009B0F1D">
        <w:rPr>
          <w:rFonts w:ascii="Arial" w:hAnsi="Arial" w:cs="Arial"/>
        </w:rPr>
        <w:t xml:space="preserve">, y </w:t>
      </w:r>
      <w:proofErr w:type="gramStart"/>
      <w:r w:rsidR="00967AFF" w:rsidRPr="009B0F1D">
        <w:rPr>
          <w:rFonts w:ascii="Arial" w:hAnsi="Arial" w:cs="Arial"/>
        </w:rPr>
        <w:t>que</w:t>
      </w:r>
      <w:proofErr w:type="gramEnd"/>
      <w:r w:rsidR="00967AFF" w:rsidRPr="009B0F1D">
        <w:rPr>
          <w:rFonts w:ascii="Arial" w:hAnsi="Arial" w:cs="Arial"/>
        </w:rPr>
        <w:t xml:space="preserve"> d</w:t>
      </w:r>
      <w:r w:rsidRPr="009B0F1D">
        <w:rPr>
          <w:rFonts w:ascii="Arial" w:hAnsi="Arial" w:cs="Arial"/>
        </w:rPr>
        <w:t>urante la discusión, los panelistas deben centrarse en presentar la evidencia más importante para cada dimensión.</w:t>
      </w:r>
    </w:p>
    <w:tbl>
      <w:tblPr>
        <w:tblStyle w:val="TableGrid"/>
        <w:tblW w:w="0" w:type="auto"/>
        <w:tblLayout w:type="fixed"/>
        <w:tblLook w:val="06A0" w:firstRow="1" w:lastRow="0" w:firstColumn="1" w:lastColumn="0" w:noHBand="1" w:noVBand="1"/>
      </w:tblPr>
      <w:tblGrid>
        <w:gridCol w:w="9015"/>
      </w:tblGrid>
      <w:tr w:rsidR="00110F41" w:rsidRPr="009B0F1D" w14:paraId="620A5F25" w14:textId="77777777" w:rsidTr="00095AC3">
        <w:trPr>
          <w:trHeight w:val="300"/>
        </w:trPr>
        <w:tc>
          <w:tcPr>
            <w:tcW w:w="9015" w:type="dxa"/>
          </w:tcPr>
          <w:p w14:paraId="57C2AA41" w14:textId="069F1C30" w:rsidR="00110F41" w:rsidRPr="009B0F1D" w:rsidRDefault="00A02AE8" w:rsidP="005565EF">
            <w:pPr>
              <w:spacing w:after="120" w:line="276" w:lineRule="auto"/>
              <w:jc w:val="both"/>
              <w:rPr>
                <w:lang w:val="es-ES"/>
              </w:rPr>
            </w:pPr>
            <w:r w:rsidRPr="00A02AE8">
              <w:rPr>
                <w:rFonts w:ascii="Arial" w:eastAsia="Arial" w:hAnsi="Arial" w:cs="Arial"/>
                <w:b/>
                <w:bCs/>
                <w:lang w:val="es-ES"/>
              </w:rPr>
              <w:t xml:space="preserve">Nota: </w:t>
            </w:r>
            <w:r w:rsidRPr="00A02AE8">
              <w:rPr>
                <w:rFonts w:ascii="Arial" w:eastAsia="Arial" w:hAnsi="Arial" w:cs="Arial"/>
                <w:lang w:val="es-ES"/>
              </w:rPr>
              <w:t>Puede resultar útil cambiar el orden en que los panelistas presentan sus propuestas de puntuación y justificación, ya que a veces los panelistas simplemente se ponen de acuerdo una vez que algunos de ellos han dado sus opiniones y no se atreven a contradecir un consenso que se está formando. Esto también dará a todos la impresión de que todos los panelistas son valorados por igual.</w:t>
            </w:r>
          </w:p>
        </w:tc>
      </w:tr>
    </w:tbl>
    <w:p w14:paraId="64CBC577" w14:textId="77777777" w:rsidR="00A02AE8" w:rsidRDefault="00A02AE8" w:rsidP="005565EF">
      <w:pPr>
        <w:spacing w:after="120" w:line="276" w:lineRule="auto"/>
        <w:jc w:val="both"/>
        <w:rPr>
          <w:rFonts w:ascii="Arial" w:hAnsi="Arial" w:cs="Arial"/>
        </w:rPr>
      </w:pPr>
    </w:p>
    <w:p w14:paraId="131D4BE7" w14:textId="03B57EBD" w:rsidR="00110F41" w:rsidRPr="009B0F1D" w:rsidRDefault="00110F41" w:rsidP="005565EF">
      <w:pPr>
        <w:spacing w:after="120" w:line="276" w:lineRule="auto"/>
        <w:jc w:val="both"/>
        <w:rPr>
          <w:rFonts w:ascii="Arial" w:hAnsi="Arial" w:cs="Arial"/>
          <w:b/>
          <w:bCs/>
          <w:color w:val="1F3864" w:themeColor="accent1" w:themeShade="80"/>
        </w:rPr>
      </w:pPr>
      <w:r w:rsidRPr="009B0F1D">
        <w:rPr>
          <w:rFonts w:ascii="Arial" w:hAnsi="Arial" w:cs="Arial"/>
          <w:b/>
          <w:bCs/>
          <w:color w:val="1F3864" w:themeColor="accent1" w:themeShade="80"/>
        </w:rPr>
        <w:t>Después de la reunión del panel de expertos</w:t>
      </w:r>
    </w:p>
    <w:p w14:paraId="65F59423" w14:textId="77777777" w:rsidR="00110F41" w:rsidRPr="009B0F1D" w:rsidRDefault="00110F41" w:rsidP="005565EF">
      <w:pPr>
        <w:spacing w:after="120" w:line="276" w:lineRule="auto"/>
        <w:jc w:val="both"/>
        <w:rPr>
          <w:rFonts w:ascii="Arial" w:hAnsi="Arial" w:cs="Arial"/>
        </w:rPr>
      </w:pPr>
      <w:r w:rsidRPr="009B0F1D">
        <w:rPr>
          <w:rFonts w:ascii="Arial" w:hAnsi="Arial" w:cs="Arial"/>
          <w:b/>
          <w:bCs/>
        </w:rPr>
        <w:t>Paso 4: Incorporar las observaciones del panel</w:t>
      </w:r>
    </w:p>
    <w:p w14:paraId="1940FDE6" w14:textId="77777777" w:rsidR="00110F41" w:rsidRPr="009B0F1D" w:rsidRDefault="00110F41" w:rsidP="005565EF">
      <w:pPr>
        <w:spacing w:after="120" w:line="276" w:lineRule="auto"/>
        <w:jc w:val="both"/>
        <w:rPr>
          <w:rFonts w:ascii="Arial" w:hAnsi="Arial" w:cs="Arial"/>
        </w:rPr>
      </w:pPr>
      <w:r w:rsidRPr="009B0F1D">
        <w:rPr>
          <w:rFonts w:ascii="Arial" w:hAnsi="Arial" w:cs="Arial"/>
        </w:rPr>
        <w:t>Con base en las observaciones y la información adicional proporcionada por las personas expertas, la persona investigadora debe compilar las puntuaciones y justificaciones para su envío al consorcio. Es importante destacar que los hallazgos deben basarse en fundamentos creíbles y objetivos.</w:t>
      </w:r>
    </w:p>
    <w:p w14:paraId="6D592BB5" w14:textId="77777777" w:rsidR="00110F41" w:rsidRPr="009B0F1D" w:rsidRDefault="00110F41" w:rsidP="005565EF">
      <w:pPr>
        <w:spacing w:after="120" w:line="276" w:lineRule="auto"/>
        <w:jc w:val="both"/>
        <w:rPr>
          <w:rFonts w:ascii="Arial" w:hAnsi="Arial" w:cs="Arial"/>
        </w:rPr>
      </w:pPr>
      <w:r w:rsidRPr="009B0F1D">
        <w:rPr>
          <w:rFonts w:ascii="Arial" w:hAnsi="Arial" w:cs="Arial"/>
        </w:rPr>
        <w:t xml:space="preserve">A continuación, algunos aspectos </w:t>
      </w:r>
      <w:proofErr w:type="gramStart"/>
      <w:r w:rsidRPr="009B0F1D">
        <w:rPr>
          <w:rFonts w:ascii="Arial" w:hAnsi="Arial" w:cs="Arial"/>
        </w:rPr>
        <w:t>a</w:t>
      </w:r>
      <w:proofErr w:type="gramEnd"/>
      <w:r w:rsidRPr="009B0F1D">
        <w:rPr>
          <w:rFonts w:ascii="Arial" w:hAnsi="Arial" w:cs="Arial"/>
        </w:rPr>
        <w:t xml:space="preserve"> tener en cuenta:</w:t>
      </w:r>
    </w:p>
    <w:p w14:paraId="10EE9FB7" w14:textId="23FC19D6" w:rsidR="00110F41" w:rsidRPr="009B0F1D" w:rsidRDefault="00110F41" w:rsidP="005565EF">
      <w:pPr>
        <w:numPr>
          <w:ilvl w:val="0"/>
          <w:numId w:val="10"/>
        </w:numPr>
        <w:spacing w:after="120" w:line="276" w:lineRule="auto"/>
        <w:jc w:val="both"/>
        <w:rPr>
          <w:rFonts w:ascii="Arial" w:hAnsi="Arial" w:cs="Arial"/>
        </w:rPr>
      </w:pPr>
      <w:r w:rsidRPr="009B0F1D">
        <w:rPr>
          <w:rFonts w:ascii="Arial" w:hAnsi="Arial" w:cs="Arial"/>
          <w:b/>
          <w:bCs/>
        </w:rPr>
        <w:t>Garantizar el anonimato de l</w:t>
      </w:r>
      <w:r w:rsidR="003C7E29">
        <w:rPr>
          <w:rFonts w:ascii="Arial" w:hAnsi="Arial" w:cs="Arial"/>
          <w:b/>
          <w:bCs/>
        </w:rPr>
        <w:t>as personas</w:t>
      </w:r>
      <w:r w:rsidRPr="009B0F1D">
        <w:rPr>
          <w:rFonts w:ascii="Arial" w:hAnsi="Arial" w:cs="Arial"/>
          <w:b/>
          <w:bCs/>
        </w:rPr>
        <w:t xml:space="preserve"> participantes.</w:t>
      </w:r>
      <w:r w:rsidRPr="009B0F1D">
        <w:rPr>
          <w:rFonts w:ascii="Arial" w:hAnsi="Arial" w:cs="Arial"/>
        </w:rPr>
        <w:t xml:space="preserve"> Es fundamental eliminar cualquier información que pueda identificar a </w:t>
      </w:r>
      <w:r w:rsidR="003C7E29">
        <w:rPr>
          <w:rFonts w:ascii="Arial" w:hAnsi="Arial" w:cs="Arial"/>
        </w:rPr>
        <w:t>los</w:t>
      </w:r>
      <w:r w:rsidRPr="009B0F1D">
        <w:rPr>
          <w:rFonts w:ascii="Arial" w:hAnsi="Arial" w:cs="Arial"/>
        </w:rPr>
        <w:t xml:space="preserve"> participantes para proteger su confidencialidad y respetar su privacidad.</w:t>
      </w:r>
    </w:p>
    <w:p w14:paraId="2D71E4C2" w14:textId="29EB3844" w:rsidR="00110F41" w:rsidRPr="009B0F1D" w:rsidRDefault="00110F41" w:rsidP="005565EF">
      <w:pPr>
        <w:numPr>
          <w:ilvl w:val="0"/>
          <w:numId w:val="10"/>
        </w:numPr>
        <w:spacing w:after="120" w:line="276" w:lineRule="auto"/>
        <w:jc w:val="both"/>
        <w:rPr>
          <w:rFonts w:ascii="Arial" w:hAnsi="Arial" w:cs="Arial"/>
        </w:rPr>
      </w:pPr>
      <w:r w:rsidRPr="009B0F1D">
        <w:rPr>
          <w:rFonts w:ascii="Arial" w:hAnsi="Arial" w:cs="Arial"/>
          <w:b/>
          <w:bCs/>
        </w:rPr>
        <w:t xml:space="preserve">Verificar la información proporcionada por </w:t>
      </w:r>
      <w:r w:rsidR="003C7E29">
        <w:rPr>
          <w:rFonts w:ascii="Arial" w:hAnsi="Arial" w:cs="Arial"/>
          <w:b/>
          <w:bCs/>
        </w:rPr>
        <w:t>las personas</w:t>
      </w:r>
      <w:r w:rsidRPr="009B0F1D">
        <w:rPr>
          <w:rFonts w:ascii="Arial" w:hAnsi="Arial" w:cs="Arial"/>
          <w:b/>
          <w:bCs/>
        </w:rPr>
        <w:t xml:space="preserve"> participantes.</w:t>
      </w:r>
      <w:r w:rsidRPr="009B0F1D">
        <w:rPr>
          <w:rFonts w:ascii="Arial" w:hAnsi="Arial" w:cs="Arial"/>
        </w:rPr>
        <w:t xml:space="preserve"> Por ejemplo, realizar una revisión documental de fuentes fiables para comprobar la exactitud de los datos relacionados con disposiciones legales o situaciones específicas mencionadas.</w:t>
      </w:r>
    </w:p>
    <w:p w14:paraId="05619F93" w14:textId="24EE4D57" w:rsidR="00110F41" w:rsidRPr="009B0F1D" w:rsidRDefault="00110F41" w:rsidP="005565EF">
      <w:pPr>
        <w:numPr>
          <w:ilvl w:val="0"/>
          <w:numId w:val="10"/>
        </w:numPr>
        <w:spacing w:after="120" w:line="276" w:lineRule="auto"/>
        <w:jc w:val="both"/>
        <w:rPr>
          <w:rFonts w:ascii="Arial" w:hAnsi="Arial" w:cs="Arial"/>
        </w:rPr>
      </w:pPr>
      <w:r w:rsidRPr="009B0F1D">
        <w:rPr>
          <w:rFonts w:ascii="Arial" w:hAnsi="Arial" w:cs="Arial"/>
          <w:b/>
          <w:bCs/>
        </w:rPr>
        <w:t>En caso de que el panel no llegue a un consenso,</w:t>
      </w:r>
      <w:r w:rsidRPr="009B0F1D">
        <w:rPr>
          <w:rFonts w:ascii="Arial" w:hAnsi="Arial" w:cs="Arial"/>
        </w:rPr>
        <w:t xml:space="preserve"> la responsabilidad final de asignar la puntuación recae en los </w:t>
      </w:r>
      <w:r w:rsidR="003C7E29">
        <w:rPr>
          <w:rFonts w:ascii="Arial" w:hAnsi="Arial" w:cs="Arial"/>
        </w:rPr>
        <w:t>MR</w:t>
      </w:r>
      <w:r w:rsidRPr="009B0F1D">
        <w:rPr>
          <w:rFonts w:ascii="Arial" w:hAnsi="Arial" w:cs="Arial"/>
        </w:rPr>
        <w:t>.</w:t>
      </w:r>
    </w:p>
    <w:p w14:paraId="0D338D9E" w14:textId="31E8951F" w:rsidR="00110F41" w:rsidRPr="009B0F1D" w:rsidRDefault="00110F41" w:rsidP="005565EF">
      <w:pPr>
        <w:spacing w:after="120" w:line="276" w:lineRule="auto"/>
        <w:jc w:val="both"/>
        <w:rPr>
          <w:rFonts w:ascii="Arial" w:hAnsi="Arial" w:cs="Arial"/>
        </w:rPr>
      </w:pPr>
      <w:r w:rsidRPr="009B0F1D">
        <w:rPr>
          <w:rFonts w:ascii="Arial" w:hAnsi="Arial" w:cs="Arial"/>
          <w:b/>
          <w:bCs/>
        </w:rPr>
        <w:t xml:space="preserve">Consejos para los </w:t>
      </w:r>
      <w:r w:rsidR="003C7E29">
        <w:rPr>
          <w:rFonts w:ascii="Arial" w:hAnsi="Arial" w:cs="Arial"/>
          <w:b/>
          <w:bCs/>
        </w:rPr>
        <w:t>MR</w:t>
      </w:r>
      <w:r w:rsidRPr="009B0F1D">
        <w:rPr>
          <w:rFonts w:ascii="Arial" w:hAnsi="Arial" w:cs="Arial"/>
          <w:b/>
          <w:bCs/>
        </w:rPr>
        <w:t>:</w:t>
      </w:r>
    </w:p>
    <w:p w14:paraId="0DCC9741" w14:textId="3B8A3E3F" w:rsidR="00110F41" w:rsidRPr="009B0F1D" w:rsidRDefault="00110F41" w:rsidP="005565EF">
      <w:pPr>
        <w:numPr>
          <w:ilvl w:val="0"/>
          <w:numId w:val="11"/>
        </w:numPr>
        <w:spacing w:after="120" w:line="276" w:lineRule="auto"/>
        <w:jc w:val="both"/>
        <w:rPr>
          <w:rFonts w:ascii="Arial" w:hAnsi="Arial" w:cs="Arial"/>
        </w:rPr>
      </w:pPr>
      <w:r w:rsidRPr="009B0F1D">
        <w:rPr>
          <w:rFonts w:ascii="Arial" w:hAnsi="Arial" w:cs="Arial"/>
          <w:b/>
          <w:bCs/>
        </w:rPr>
        <w:t>Fomentar un debate respetuoso.</w:t>
      </w:r>
      <w:r w:rsidRPr="009B0F1D">
        <w:rPr>
          <w:rFonts w:ascii="Arial" w:hAnsi="Arial" w:cs="Arial"/>
        </w:rPr>
        <w:t xml:space="preserve"> Es importante detener a cualquier panelista que intente imponer su puntuación mediante presión o ataques personales. Es importante que todos los panelistas sepan que este tipo de comportamiento es inaceptable, con la finalidad de que todas las personas se sientan seguras para expresarse con libertad y honestidad.</w:t>
      </w:r>
    </w:p>
    <w:p w14:paraId="3C3C11E9" w14:textId="0E834CA6" w:rsidR="00DE623D" w:rsidRPr="009B0F1D" w:rsidRDefault="00DE623D" w:rsidP="005565EF">
      <w:pPr>
        <w:pStyle w:val="NormalWeb"/>
        <w:numPr>
          <w:ilvl w:val="0"/>
          <w:numId w:val="11"/>
        </w:numPr>
        <w:spacing w:before="0" w:beforeAutospacing="0" w:after="120" w:afterAutospacing="0" w:line="276" w:lineRule="auto"/>
        <w:jc w:val="both"/>
        <w:rPr>
          <w:rFonts w:ascii="Arial" w:hAnsi="Arial" w:cs="Arial"/>
          <w:sz w:val="22"/>
          <w:szCs w:val="22"/>
        </w:rPr>
      </w:pPr>
      <w:r w:rsidRPr="009B0F1D">
        <w:rPr>
          <w:rStyle w:val="Strong"/>
          <w:rFonts w:ascii="Arial" w:eastAsiaTheme="majorEastAsia" w:hAnsi="Arial" w:cs="Arial"/>
          <w:sz w:val="22"/>
          <w:szCs w:val="22"/>
        </w:rPr>
        <w:lastRenderedPageBreak/>
        <w:t>Problemas de geografía y conectividad:</w:t>
      </w:r>
      <w:r w:rsidRPr="009B0F1D">
        <w:rPr>
          <w:rFonts w:ascii="Arial" w:hAnsi="Arial" w:cs="Arial"/>
          <w:sz w:val="22"/>
          <w:szCs w:val="22"/>
        </w:rPr>
        <w:t xml:space="preserve"> En algunos países, garantizar la participación presencial de l</w:t>
      </w:r>
      <w:r w:rsidR="003C7E29">
        <w:rPr>
          <w:rFonts w:ascii="Arial" w:hAnsi="Arial" w:cs="Arial"/>
          <w:sz w:val="22"/>
          <w:szCs w:val="22"/>
        </w:rPr>
        <w:t xml:space="preserve">os </w:t>
      </w:r>
      <w:r w:rsidRPr="009B0F1D">
        <w:rPr>
          <w:rFonts w:ascii="Arial" w:hAnsi="Arial" w:cs="Arial"/>
          <w:sz w:val="22"/>
          <w:szCs w:val="22"/>
        </w:rPr>
        <w:t xml:space="preserve">panelistas de </w:t>
      </w:r>
      <w:r w:rsidR="003C7E29">
        <w:rPr>
          <w:rFonts w:ascii="Arial" w:hAnsi="Arial" w:cs="Arial"/>
          <w:sz w:val="22"/>
          <w:szCs w:val="22"/>
        </w:rPr>
        <w:t>algunas</w:t>
      </w:r>
      <w:r w:rsidRPr="009B0F1D">
        <w:rPr>
          <w:rFonts w:ascii="Arial" w:hAnsi="Arial" w:cs="Arial"/>
          <w:sz w:val="22"/>
          <w:szCs w:val="22"/>
        </w:rPr>
        <w:t xml:space="preserve"> áreas del país puede estar fuera de las posibilidades presupuestarias. Por lo tanto, se permite y se fomenta la realización de debates híbridos (presenciales con participación en línea o por llamada de personas que no puedan asistir en persona) para garantizar la diversidad del panel. No obstante, la baja calidad de la conexión a internet puede ser un problema. Por favor, asegúrese de revisar la conexión a internet con antelación en la medida de lo posible. Si la conectividad representa un obstáculo, se permiten las presentaciones por escrito de las personas panelistas que no puedan asistir de forma presencial o en línea, siempre que se considere que sus aportes son fundamentales para las decisiones de puntuación. Estos casos deben discutirse con el consorcio para ser evaluados individualmente. Si una persona experta no puede asistir debido a problemas de conectividad, se recomienda recoger igualmente sus aportes por escrito para que las personas panelistas participantes puedan considerar sus perspectivas y evidencias en el debate.</w:t>
      </w:r>
    </w:p>
    <w:p w14:paraId="6787EF62" w14:textId="2D5CED16" w:rsidR="00DE623D" w:rsidRPr="009B0F1D" w:rsidRDefault="00DE623D" w:rsidP="005565EF">
      <w:pPr>
        <w:pStyle w:val="NormalWeb"/>
        <w:numPr>
          <w:ilvl w:val="0"/>
          <w:numId w:val="11"/>
        </w:numPr>
        <w:spacing w:before="0" w:beforeAutospacing="0" w:after="120" w:afterAutospacing="0" w:line="276" w:lineRule="auto"/>
        <w:jc w:val="both"/>
        <w:rPr>
          <w:rFonts w:ascii="Arial" w:hAnsi="Arial" w:cs="Arial"/>
          <w:sz w:val="22"/>
          <w:szCs w:val="22"/>
        </w:rPr>
      </w:pPr>
      <w:r w:rsidRPr="009B0F1D">
        <w:rPr>
          <w:rStyle w:val="Strong"/>
          <w:rFonts w:ascii="Arial" w:eastAsiaTheme="majorEastAsia" w:hAnsi="Arial" w:cs="Arial"/>
          <w:sz w:val="22"/>
          <w:szCs w:val="22"/>
        </w:rPr>
        <w:t>Compartir datos e información:</w:t>
      </w:r>
      <w:r w:rsidRPr="009B0F1D">
        <w:rPr>
          <w:rFonts w:ascii="Arial" w:hAnsi="Arial" w:cs="Arial"/>
          <w:sz w:val="22"/>
          <w:szCs w:val="22"/>
        </w:rPr>
        <w:t xml:space="preserve"> Es posible que las personas panelistas necesiten orientación para acceder a las fuentes secundarias a revisar durante el proceso de puntuación. Usted contará con datos secundarios ya recopilados a través de la herramienta del </w:t>
      </w:r>
      <w:r w:rsidR="0087349E" w:rsidRPr="009B0F1D">
        <w:rPr>
          <w:rFonts w:ascii="Arial" w:hAnsi="Arial" w:cs="Arial"/>
          <w:sz w:val="22"/>
          <w:szCs w:val="22"/>
        </w:rPr>
        <w:t>MAT</w:t>
      </w:r>
      <w:r w:rsidRPr="009B0F1D">
        <w:rPr>
          <w:rFonts w:ascii="Arial" w:hAnsi="Arial" w:cs="Arial"/>
          <w:sz w:val="22"/>
          <w:szCs w:val="22"/>
        </w:rPr>
        <w:t xml:space="preserve"> a lo largo del año, así como de </w:t>
      </w:r>
      <w:r w:rsidR="003C7E29">
        <w:rPr>
          <w:rFonts w:ascii="Arial" w:hAnsi="Arial" w:cs="Arial"/>
          <w:sz w:val="22"/>
          <w:szCs w:val="22"/>
        </w:rPr>
        <w:t>Instantáneas de Ambiente Habilitante</w:t>
      </w:r>
      <w:r w:rsidRPr="009B0F1D">
        <w:rPr>
          <w:rFonts w:ascii="Arial" w:hAnsi="Arial" w:cs="Arial"/>
          <w:sz w:val="22"/>
          <w:szCs w:val="22"/>
        </w:rPr>
        <w:t>. Se recomienda encarecidamente compartir esta información con todas las personas panelistas para que la consideren al asignar las puntuaciones. Además, si su organización cuenta con investigaciones propias o si tiene conocimiento de índices nacionales relevantes para los principios de la metodología EU SEE, también deben compartirse con las personas panelistas para su consideración.</w:t>
      </w:r>
    </w:p>
    <w:p w14:paraId="64F77757" w14:textId="0F41FC04" w:rsidR="00DE623D" w:rsidRPr="009B0F1D" w:rsidRDefault="00DE623D" w:rsidP="005565EF">
      <w:pPr>
        <w:pStyle w:val="NormalWeb"/>
        <w:numPr>
          <w:ilvl w:val="0"/>
          <w:numId w:val="11"/>
        </w:numPr>
        <w:spacing w:before="0" w:beforeAutospacing="0" w:after="120" w:afterAutospacing="0" w:line="276" w:lineRule="auto"/>
        <w:jc w:val="both"/>
        <w:rPr>
          <w:rFonts w:ascii="Arial" w:hAnsi="Arial" w:cs="Arial"/>
          <w:sz w:val="22"/>
          <w:szCs w:val="22"/>
        </w:rPr>
      </w:pPr>
      <w:r w:rsidRPr="009B0F1D">
        <w:rPr>
          <w:rStyle w:val="Strong"/>
          <w:rFonts w:ascii="Arial" w:eastAsiaTheme="majorEastAsia" w:hAnsi="Arial" w:cs="Arial"/>
          <w:sz w:val="22"/>
          <w:szCs w:val="22"/>
        </w:rPr>
        <w:t>Periodo de tiempo evaluado:</w:t>
      </w:r>
      <w:r w:rsidRPr="009B0F1D">
        <w:rPr>
          <w:rFonts w:ascii="Arial" w:hAnsi="Arial" w:cs="Arial"/>
          <w:sz w:val="22"/>
          <w:szCs w:val="22"/>
        </w:rPr>
        <w:t xml:space="preserve"> Al orientar a las personas panelistas, es recomendable recordarles que se deben priorizar los datos y la información recopilada durante el último año hasta la fecha de la reunión del panel. En futuras evaluaciones, será especialmente útil centrarse en identificar qué ha mejorado o empeorado en los últimos 12 meses para enfocar la discusión en cómo podría cambiar la puntuación en ese periodo.</w:t>
      </w:r>
    </w:p>
    <w:p w14:paraId="04AA1E4C" w14:textId="19C83020" w:rsidR="00DE623D" w:rsidRDefault="00DE623D" w:rsidP="005565EF">
      <w:pPr>
        <w:pStyle w:val="NormalWeb"/>
        <w:numPr>
          <w:ilvl w:val="0"/>
          <w:numId w:val="11"/>
        </w:numPr>
        <w:spacing w:before="0" w:beforeAutospacing="0" w:after="120" w:afterAutospacing="0" w:line="276" w:lineRule="auto"/>
        <w:jc w:val="both"/>
        <w:rPr>
          <w:rFonts w:ascii="Arial" w:hAnsi="Arial" w:cs="Arial"/>
          <w:sz w:val="22"/>
          <w:szCs w:val="22"/>
        </w:rPr>
      </w:pPr>
      <w:r w:rsidRPr="009B0F1D">
        <w:rPr>
          <w:rStyle w:val="Strong"/>
          <w:rFonts w:ascii="Arial" w:eastAsiaTheme="majorEastAsia" w:hAnsi="Arial" w:cs="Arial"/>
          <w:sz w:val="22"/>
          <w:szCs w:val="22"/>
        </w:rPr>
        <w:t>Informe al consorcio:</w:t>
      </w:r>
      <w:r w:rsidRPr="009B0F1D">
        <w:rPr>
          <w:rFonts w:ascii="Arial" w:hAnsi="Arial" w:cs="Arial"/>
          <w:sz w:val="22"/>
          <w:szCs w:val="22"/>
        </w:rPr>
        <w:t xml:space="preserve"> Puede utilizar el mismo formato que la tarjeta de puntuación de las personas panelistas para registrar las deliberaciones, incluyendo las puntuaciones consensuadas y las pruebas más convincentes presentadas. Puede añadir información adicional a este formato a partir de las presentaciones escritas de las tarjetas de puntuación de las personas panelistas y enviarlo al consorcio para su revisión como justificación completa de cada puntuación de dimensión y su correspondiente evidencia (ver abajo).</w:t>
      </w:r>
    </w:p>
    <w:p w14:paraId="57F92F6C" w14:textId="77777777" w:rsidR="00B45CEF" w:rsidRPr="009B0F1D" w:rsidRDefault="00B45CEF" w:rsidP="005565EF">
      <w:pPr>
        <w:pStyle w:val="NormalWeb"/>
        <w:numPr>
          <w:ilvl w:val="0"/>
          <w:numId w:val="11"/>
        </w:numPr>
        <w:spacing w:before="0" w:beforeAutospacing="0" w:after="120" w:afterAutospacing="0" w:line="276" w:lineRule="auto"/>
        <w:jc w:val="both"/>
        <w:rPr>
          <w:rFonts w:ascii="Arial" w:hAnsi="Arial" w:cs="Arial"/>
          <w:sz w:val="22"/>
          <w:szCs w:val="22"/>
        </w:rPr>
      </w:pPr>
    </w:p>
    <w:p w14:paraId="2C61CA9A" w14:textId="77777777" w:rsidR="00DE623D" w:rsidRPr="009B0F1D" w:rsidRDefault="00DE623D" w:rsidP="005565EF">
      <w:pPr>
        <w:pStyle w:val="Heading2"/>
        <w:spacing w:before="0" w:after="120" w:line="276" w:lineRule="auto"/>
        <w:jc w:val="both"/>
      </w:pPr>
      <w:bookmarkStart w:id="2" w:name="_Toc193301981"/>
      <w:r w:rsidRPr="009B0F1D">
        <w:rPr>
          <w:rStyle w:val="Strong"/>
          <w:b/>
          <w:bCs w:val="0"/>
        </w:rPr>
        <w:t>CONTROL DE CALIDAD Y CONSOLIDACIÓN DE PUNTUACIONES</w:t>
      </w:r>
      <w:bookmarkEnd w:id="2"/>
    </w:p>
    <w:p w14:paraId="3EA6436C" w14:textId="77777777" w:rsidR="00DE623D" w:rsidRPr="009B0F1D" w:rsidRDefault="00DE623D" w:rsidP="005565EF">
      <w:pPr>
        <w:pStyle w:val="NormalWeb"/>
        <w:spacing w:before="0" w:beforeAutospacing="0" w:after="120" w:afterAutospacing="0" w:line="276" w:lineRule="auto"/>
        <w:jc w:val="both"/>
        <w:rPr>
          <w:rFonts w:ascii="Arial" w:hAnsi="Arial" w:cs="Arial"/>
          <w:sz w:val="22"/>
          <w:szCs w:val="22"/>
        </w:rPr>
      </w:pPr>
      <w:r w:rsidRPr="009B0F1D">
        <w:rPr>
          <w:rStyle w:val="Strong"/>
          <w:rFonts w:ascii="Arial" w:eastAsiaTheme="majorEastAsia" w:hAnsi="Arial" w:cs="Arial"/>
          <w:sz w:val="22"/>
          <w:szCs w:val="22"/>
        </w:rPr>
        <w:t>E. CONTROL DE CALIDAD E INTERCAMBIO CON EL CONSORCIO SOBRE LAS PUNTUACIONES</w:t>
      </w:r>
    </w:p>
    <w:p w14:paraId="7E788022" w14:textId="509FF3B0" w:rsidR="009C0A96" w:rsidRPr="009B0F1D" w:rsidRDefault="00DE623D" w:rsidP="005565EF">
      <w:pPr>
        <w:pStyle w:val="NormalWeb"/>
        <w:spacing w:before="0" w:beforeAutospacing="0" w:after="120" w:afterAutospacing="0" w:line="276" w:lineRule="auto"/>
        <w:jc w:val="both"/>
        <w:rPr>
          <w:rFonts w:ascii="Arial" w:hAnsi="Arial" w:cs="Arial"/>
          <w:sz w:val="22"/>
          <w:szCs w:val="22"/>
        </w:rPr>
      </w:pPr>
      <w:r w:rsidRPr="009B0F1D">
        <w:rPr>
          <w:rFonts w:ascii="Arial" w:hAnsi="Arial" w:cs="Arial"/>
          <w:sz w:val="22"/>
          <w:szCs w:val="22"/>
        </w:rPr>
        <w:lastRenderedPageBreak/>
        <w:t xml:space="preserve">Una vez finalizado el proceso de puntuación, los </w:t>
      </w:r>
      <w:r w:rsidR="003C7E29">
        <w:rPr>
          <w:rFonts w:ascii="Arial" w:hAnsi="Arial" w:cs="Arial"/>
          <w:sz w:val="22"/>
          <w:szCs w:val="22"/>
        </w:rPr>
        <w:t>MR</w:t>
      </w:r>
      <w:r w:rsidRPr="009B0F1D">
        <w:rPr>
          <w:rFonts w:ascii="Arial" w:hAnsi="Arial" w:cs="Arial"/>
          <w:sz w:val="22"/>
          <w:szCs w:val="22"/>
        </w:rPr>
        <w:t xml:space="preserve"> deben enviar sus hallazgos </w:t>
      </w:r>
      <w:r w:rsidR="00B45CEF">
        <w:rPr>
          <w:rFonts w:ascii="Arial" w:hAnsi="Arial" w:cs="Arial"/>
          <w:sz w:val="22"/>
          <w:szCs w:val="22"/>
        </w:rPr>
        <w:t xml:space="preserve">al consorcio </w:t>
      </w:r>
      <w:r w:rsidRPr="009B0F1D">
        <w:rPr>
          <w:rFonts w:ascii="Arial" w:hAnsi="Arial" w:cs="Arial"/>
          <w:sz w:val="22"/>
          <w:szCs w:val="22"/>
        </w:rPr>
        <w:t>para su revisión. Durante este proceso, el consorcio puede solicitar evidencia adicional o una justificación más sólida para las puntuaciones asignadas. Asimismo, puede recomendar que la persona investigadora ajuste una puntuación en función de la evidencia disponible.</w:t>
      </w:r>
    </w:p>
    <w:p w14:paraId="2FE556BB" w14:textId="0FB1ACF7" w:rsidR="00DE623D" w:rsidRPr="009B0F1D" w:rsidRDefault="00DE623D" w:rsidP="005565EF">
      <w:pPr>
        <w:pStyle w:val="NormalWeb"/>
        <w:spacing w:before="0" w:beforeAutospacing="0" w:after="120" w:afterAutospacing="0" w:line="276" w:lineRule="auto"/>
        <w:jc w:val="both"/>
        <w:rPr>
          <w:rFonts w:ascii="Arial" w:hAnsi="Arial" w:cs="Arial"/>
          <w:sz w:val="22"/>
          <w:szCs w:val="22"/>
        </w:rPr>
      </w:pPr>
      <w:r w:rsidRPr="009B0F1D">
        <w:rPr>
          <w:rFonts w:ascii="Arial" w:hAnsi="Arial" w:cs="Arial"/>
          <w:sz w:val="22"/>
          <w:szCs w:val="22"/>
        </w:rPr>
        <w:t xml:space="preserve">El consorcio supervisará cualquier revisión adicional necesaria para finalizar las puntuaciones. En caso de no alcanzar un acuerdo, el consorcio tomará la decisión final y proporcionará a los </w:t>
      </w:r>
      <w:r w:rsidR="003C7E29">
        <w:rPr>
          <w:rFonts w:ascii="Arial" w:hAnsi="Arial" w:cs="Arial"/>
          <w:sz w:val="22"/>
          <w:szCs w:val="22"/>
        </w:rPr>
        <w:t>MR</w:t>
      </w:r>
      <w:r w:rsidRPr="009B0F1D">
        <w:rPr>
          <w:rFonts w:ascii="Arial" w:hAnsi="Arial" w:cs="Arial"/>
          <w:sz w:val="22"/>
          <w:szCs w:val="22"/>
        </w:rPr>
        <w:t xml:space="preserve"> una justificación para cualquier cambio realizado en la puntuación final.</w:t>
      </w:r>
    </w:p>
    <w:p w14:paraId="31079F7F" w14:textId="77777777" w:rsidR="009C0A96" w:rsidRPr="009B0F1D" w:rsidRDefault="009C0A96" w:rsidP="005565EF">
      <w:pPr>
        <w:pStyle w:val="NormalWeb"/>
        <w:spacing w:before="0" w:beforeAutospacing="0" w:after="120" w:afterAutospacing="0" w:line="276" w:lineRule="auto"/>
        <w:jc w:val="both"/>
        <w:rPr>
          <w:rFonts w:ascii="Arial" w:hAnsi="Arial" w:cs="Arial"/>
        </w:rPr>
      </w:pPr>
      <w:r w:rsidRPr="009B0F1D">
        <w:rPr>
          <w:rFonts w:ascii="Arial" w:hAnsi="Arial" w:cs="Arial"/>
          <w:b/>
          <w:bCs/>
        </w:rPr>
        <w:t>F. AGREGACIÓN DE PUNTUACIONES</w:t>
      </w:r>
    </w:p>
    <w:p w14:paraId="0C7EABCC" w14:textId="1A668095" w:rsidR="009C0A96" w:rsidRPr="009B0F1D" w:rsidRDefault="009C0A96" w:rsidP="005565EF">
      <w:pPr>
        <w:pStyle w:val="NormalWeb"/>
        <w:spacing w:before="0" w:beforeAutospacing="0" w:after="120" w:afterAutospacing="0" w:line="276" w:lineRule="auto"/>
        <w:jc w:val="both"/>
        <w:rPr>
          <w:rFonts w:ascii="Arial" w:hAnsi="Arial" w:cs="Arial"/>
          <w:sz w:val="22"/>
          <w:szCs w:val="22"/>
        </w:rPr>
      </w:pPr>
      <w:r w:rsidRPr="009B0F1D">
        <w:rPr>
          <w:rFonts w:ascii="Arial" w:hAnsi="Arial" w:cs="Arial"/>
          <w:sz w:val="22"/>
          <w:szCs w:val="22"/>
        </w:rPr>
        <w:t>Las puntuaciones asignadas a cada dimensión se agregarán para generar una puntuación única para cada principio, con la puntuación final representando un promedio ponderado de sus dimensiones. Esta agregación se llevará a cabo únicamente después de que se haya completado el proceso de control de calidad para cada dimensión y el consorcio, junto con los Miembros de la Red, haya acordado las puntuaciones finales.</w:t>
      </w:r>
    </w:p>
    <w:p w14:paraId="501A90D6" w14:textId="77777777" w:rsidR="00C468A6" w:rsidRPr="009B0F1D" w:rsidRDefault="00C468A6" w:rsidP="00EC3C5F">
      <w:pPr>
        <w:pStyle w:val="NormalWeb"/>
        <w:spacing w:before="0" w:beforeAutospacing="0" w:after="120" w:afterAutospacing="0" w:line="276" w:lineRule="auto"/>
        <w:rPr>
          <w:rFonts w:ascii="Arial" w:hAnsi="Arial" w:cs="Arial"/>
          <w:sz w:val="22"/>
          <w:szCs w:val="22"/>
        </w:rPr>
      </w:pPr>
    </w:p>
    <w:tbl>
      <w:tblPr>
        <w:tblStyle w:val="TableGrid"/>
        <w:tblW w:w="0" w:type="auto"/>
        <w:tblLook w:val="04A0" w:firstRow="1" w:lastRow="0" w:firstColumn="1" w:lastColumn="0" w:noHBand="0" w:noVBand="1"/>
      </w:tblPr>
      <w:tblGrid>
        <w:gridCol w:w="2335"/>
        <w:gridCol w:w="6159"/>
      </w:tblGrid>
      <w:tr w:rsidR="009C0A96" w:rsidRPr="009B0F1D" w14:paraId="63B846EF" w14:textId="77777777" w:rsidTr="009C0A96">
        <w:tc>
          <w:tcPr>
            <w:tcW w:w="0" w:type="auto"/>
            <w:hideMark/>
          </w:tcPr>
          <w:p w14:paraId="729170B9" w14:textId="77777777" w:rsidR="009C0A96" w:rsidRPr="009B0F1D" w:rsidRDefault="009C0A96" w:rsidP="00EC3C5F">
            <w:pPr>
              <w:pStyle w:val="NormalWeb"/>
              <w:spacing w:before="0" w:beforeAutospacing="0" w:after="120" w:afterAutospacing="0" w:line="276" w:lineRule="auto"/>
              <w:rPr>
                <w:rFonts w:ascii="Arial" w:hAnsi="Arial" w:cs="Arial"/>
                <w:b/>
                <w:bCs/>
                <w:sz w:val="20"/>
                <w:szCs w:val="20"/>
                <w:lang w:val="es-ES"/>
              </w:rPr>
            </w:pPr>
            <w:r w:rsidRPr="009B0F1D">
              <w:rPr>
                <w:rFonts w:ascii="Arial" w:hAnsi="Arial" w:cs="Arial"/>
                <w:b/>
                <w:bCs/>
                <w:sz w:val="20"/>
                <w:szCs w:val="20"/>
                <w:lang w:val="es-ES"/>
              </w:rPr>
              <w:t>Principio</w:t>
            </w:r>
          </w:p>
        </w:tc>
        <w:tc>
          <w:tcPr>
            <w:tcW w:w="0" w:type="auto"/>
            <w:hideMark/>
          </w:tcPr>
          <w:p w14:paraId="509E4B36" w14:textId="77777777" w:rsidR="009C0A96" w:rsidRPr="009B0F1D" w:rsidRDefault="009C0A96" w:rsidP="00EC3C5F">
            <w:pPr>
              <w:pStyle w:val="NormalWeb"/>
              <w:spacing w:before="0" w:beforeAutospacing="0" w:after="120" w:afterAutospacing="0" w:line="276" w:lineRule="auto"/>
              <w:rPr>
                <w:rFonts w:ascii="Arial" w:hAnsi="Arial" w:cs="Arial"/>
                <w:b/>
                <w:bCs/>
                <w:sz w:val="20"/>
                <w:szCs w:val="20"/>
                <w:lang w:val="es-ES"/>
              </w:rPr>
            </w:pPr>
            <w:r w:rsidRPr="009B0F1D">
              <w:rPr>
                <w:rFonts w:ascii="Arial" w:hAnsi="Arial" w:cs="Arial"/>
                <w:b/>
                <w:bCs/>
                <w:sz w:val="20"/>
                <w:szCs w:val="20"/>
                <w:lang w:val="es-ES"/>
              </w:rPr>
              <w:t>Desglose de Puntuación</w:t>
            </w:r>
          </w:p>
        </w:tc>
      </w:tr>
      <w:tr w:rsidR="009C0A96" w:rsidRPr="009B0F1D" w14:paraId="787E92B6" w14:textId="77777777" w:rsidTr="009C0A96">
        <w:tc>
          <w:tcPr>
            <w:tcW w:w="0" w:type="auto"/>
            <w:hideMark/>
          </w:tcPr>
          <w:p w14:paraId="36328FD8" w14:textId="151418E0" w:rsidR="00C468A6" w:rsidRPr="009B0F1D" w:rsidRDefault="00C468A6" w:rsidP="00EC3C5F">
            <w:pPr>
              <w:spacing w:after="120" w:line="276" w:lineRule="auto"/>
              <w:rPr>
                <w:rFonts w:ascii="Arial" w:hAnsi="Arial" w:cs="Arial"/>
                <w:b/>
                <w:bCs/>
                <w:sz w:val="20"/>
                <w:szCs w:val="20"/>
                <w:lang w:val="es-ES"/>
              </w:rPr>
            </w:pPr>
            <w:r w:rsidRPr="009B0F1D">
              <w:rPr>
                <w:rFonts w:ascii="Arial" w:hAnsi="Arial" w:cs="Arial"/>
                <w:b/>
                <w:bCs/>
                <w:sz w:val="20"/>
                <w:szCs w:val="20"/>
                <w:lang w:val="es-ES"/>
              </w:rPr>
              <w:t>Respeto y protección de las libertades cívicas fundamentales</w:t>
            </w:r>
          </w:p>
          <w:p w14:paraId="2F862361" w14:textId="54720B91" w:rsidR="009C0A96" w:rsidRPr="009B0F1D" w:rsidRDefault="009C0A96" w:rsidP="00EC3C5F">
            <w:pPr>
              <w:pStyle w:val="NormalWeb"/>
              <w:spacing w:before="0" w:beforeAutospacing="0" w:after="120" w:afterAutospacing="0" w:line="276" w:lineRule="auto"/>
              <w:rPr>
                <w:rFonts w:ascii="Arial" w:hAnsi="Arial" w:cs="Arial"/>
                <w:b/>
                <w:bCs/>
                <w:sz w:val="20"/>
                <w:szCs w:val="20"/>
                <w:lang w:val="es-ES"/>
              </w:rPr>
            </w:pPr>
          </w:p>
        </w:tc>
        <w:tc>
          <w:tcPr>
            <w:tcW w:w="0" w:type="auto"/>
            <w:hideMark/>
          </w:tcPr>
          <w:p w14:paraId="4764E6E7" w14:textId="77777777" w:rsidR="009C0A96" w:rsidRDefault="009C0A96" w:rsidP="00EC3C5F">
            <w:pPr>
              <w:pStyle w:val="NormalWeb"/>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 xml:space="preserve">No es necesario agregar una puntuación. La puntuación corresponde a la categoría de calificación más reciente del </w:t>
            </w:r>
            <w:r w:rsidRPr="009B0F1D">
              <w:rPr>
                <w:rFonts w:ascii="Arial" w:hAnsi="Arial" w:cs="Arial"/>
                <w:i/>
                <w:iCs/>
                <w:sz w:val="20"/>
                <w:szCs w:val="20"/>
                <w:u w:val="single"/>
                <w:lang w:val="es-ES"/>
              </w:rPr>
              <w:t>CIVICUS Monitor</w:t>
            </w:r>
            <w:r w:rsidRPr="009B0F1D">
              <w:rPr>
                <w:rFonts w:ascii="Arial" w:hAnsi="Arial" w:cs="Arial"/>
                <w:sz w:val="20"/>
                <w:szCs w:val="20"/>
                <w:lang w:val="es-ES"/>
              </w:rPr>
              <w:t>. Las puntuaciones de 1 a 5 se alinearán con las categorías de calificación, donde 1 representa la categoría menos habilitante (</w:t>
            </w:r>
            <w:r w:rsidRPr="009B0F1D">
              <w:rPr>
                <w:rFonts w:ascii="Arial" w:hAnsi="Arial" w:cs="Arial"/>
                <w:i/>
                <w:iCs/>
                <w:sz w:val="20"/>
                <w:szCs w:val="20"/>
                <w:lang w:val="es-ES"/>
              </w:rPr>
              <w:t>Cerrado</w:t>
            </w:r>
            <w:r w:rsidRPr="009B0F1D">
              <w:rPr>
                <w:rFonts w:ascii="Arial" w:hAnsi="Arial" w:cs="Arial"/>
                <w:sz w:val="20"/>
                <w:szCs w:val="20"/>
                <w:lang w:val="es-ES"/>
              </w:rPr>
              <w:t>) y 5 la más habilitante (</w:t>
            </w:r>
            <w:r w:rsidRPr="009B0F1D">
              <w:rPr>
                <w:rFonts w:ascii="Arial" w:hAnsi="Arial" w:cs="Arial"/>
                <w:i/>
                <w:iCs/>
                <w:sz w:val="20"/>
                <w:szCs w:val="20"/>
                <w:lang w:val="es-ES"/>
              </w:rPr>
              <w:t>Abierto</w:t>
            </w:r>
            <w:r w:rsidRPr="009B0F1D">
              <w:rPr>
                <w:rFonts w:ascii="Arial" w:hAnsi="Arial" w:cs="Arial"/>
                <w:sz w:val="20"/>
                <w:szCs w:val="20"/>
                <w:lang w:val="es-ES"/>
              </w:rPr>
              <w:t>).</w:t>
            </w:r>
          </w:p>
          <w:p w14:paraId="480810F0" w14:textId="49BC60E2" w:rsidR="00C73005" w:rsidRPr="009B0F1D" w:rsidRDefault="00D971C8" w:rsidP="00EC3C5F">
            <w:pPr>
              <w:pStyle w:val="NormalWeb"/>
              <w:spacing w:before="0" w:beforeAutospacing="0" w:after="120" w:afterAutospacing="0" w:line="276" w:lineRule="auto"/>
              <w:rPr>
                <w:rFonts w:ascii="Arial" w:hAnsi="Arial" w:cs="Arial"/>
                <w:sz w:val="20"/>
                <w:szCs w:val="20"/>
                <w:lang w:val="es-ES"/>
              </w:rPr>
            </w:pPr>
            <w:r w:rsidRPr="00D971C8">
              <w:rPr>
                <w:rFonts w:ascii="Arial" w:hAnsi="Arial" w:cs="Arial"/>
                <w:sz w:val="20"/>
                <w:szCs w:val="20"/>
                <w:lang w:val="es-ES"/>
              </w:rPr>
              <w:t>En la sección narrativa del informe CFR, tendrá la oportunidad de proporcionar una narrativa que complemente estos puntajes, basándose en su</w:t>
            </w:r>
            <w:r>
              <w:rPr>
                <w:rFonts w:ascii="Arial" w:hAnsi="Arial" w:cs="Arial"/>
                <w:sz w:val="20"/>
                <w:szCs w:val="20"/>
                <w:lang w:val="es-ES"/>
              </w:rPr>
              <w:t xml:space="preserve"> propia</w:t>
            </w:r>
            <w:r w:rsidRPr="00D971C8">
              <w:rPr>
                <w:rFonts w:ascii="Arial" w:hAnsi="Arial" w:cs="Arial"/>
                <w:sz w:val="20"/>
                <w:szCs w:val="20"/>
                <w:lang w:val="es-ES"/>
              </w:rPr>
              <w:t xml:space="preserve"> investigación y</w:t>
            </w:r>
            <w:r>
              <w:rPr>
                <w:rFonts w:ascii="Arial" w:hAnsi="Arial" w:cs="Arial"/>
                <w:sz w:val="20"/>
                <w:szCs w:val="20"/>
                <w:lang w:val="es-ES"/>
              </w:rPr>
              <w:t xml:space="preserve"> </w:t>
            </w:r>
            <w:r w:rsidRPr="00D971C8">
              <w:rPr>
                <w:rFonts w:ascii="Arial" w:hAnsi="Arial" w:cs="Arial"/>
                <w:sz w:val="20"/>
                <w:szCs w:val="20"/>
                <w:lang w:val="es-ES"/>
              </w:rPr>
              <w:t>ejemplos</w:t>
            </w:r>
            <w:r>
              <w:rPr>
                <w:rFonts w:ascii="Arial" w:hAnsi="Arial" w:cs="Arial"/>
                <w:sz w:val="20"/>
                <w:szCs w:val="20"/>
                <w:lang w:val="es-ES"/>
              </w:rPr>
              <w:t>.</w:t>
            </w:r>
          </w:p>
        </w:tc>
      </w:tr>
      <w:tr w:rsidR="009C0A96" w:rsidRPr="009B0F1D" w14:paraId="354BE1E1" w14:textId="77777777" w:rsidTr="009C0A96">
        <w:tc>
          <w:tcPr>
            <w:tcW w:w="0" w:type="auto"/>
            <w:hideMark/>
          </w:tcPr>
          <w:p w14:paraId="7444AFAE" w14:textId="2647C9B4" w:rsidR="00C468A6" w:rsidRPr="009B0F1D" w:rsidRDefault="00C468A6" w:rsidP="00EC3C5F">
            <w:pPr>
              <w:spacing w:after="120" w:line="276" w:lineRule="auto"/>
              <w:rPr>
                <w:rFonts w:ascii="Arial" w:hAnsi="Arial" w:cs="Arial"/>
                <w:b/>
                <w:bCs/>
                <w:sz w:val="20"/>
                <w:szCs w:val="20"/>
                <w:lang w:val="es-ES"/>
              </w:rPr>
            </w:pPr>
            <w:r w:rsidRPr="009B0F1D">
              <w:rPr>
                <w:rFonts w:ascii="Arial" w:hAnsi="Arial" w:cs="Arial"/>
                <w:b/>
                <w:bCs/>
                <w:sz w:val="20"/>
                <w:szCs w:val="20"/>
                <w:lang w:val="es-ES"/>
              </w:rPr>
              <w:t>Marco legal y normativo que favorece la asociación</w:t>
            </w:r>
          </w:p>
          <w:p w14:paraId="2ACF53EB" w14:textId="25F2F243" w:rsidR="009C0A96" w:rsidRPr="009B0F1D" w:rsidRDefault="009C0A96" w:rsidP="00EC3C5F">
            <w:pPr>
              <w:pStyle w:val="NormalWeb"/>
              <w:spacing w:before="0" w:beforeAutospacing="0" w:after="120" w:afterAutospacing="0" w:line="276" w:lineRule="auto"/>
              <w:rPr>
                <w:rFonts w:ascii="Arial" w:hAnsi="Arial" w:cs="Arial"/>
                <w:b/>
                <w:bCs/>
                <w:sz w:val="20"/>
                <w:szCs w:val="20"/>
                <w:lang w:val="es-ES"/>
              </w:rPr>
            </w:pPr>
          </w:p>
        </w:tc>
        <w:tc>
          <w:tcPr>
            <w:tcW w:w="0" w:type="auto"/>
            <w:hideMark/>
          </w:tcPr>
          <w:p w14:paraId="46373CC9" w14:textId="4966B9B2"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 xml:space="preserve">Registro – 33 % de la puntuación </w:t>
            </w:r>
          </w:p>
          <w:p w14:paraId="4033F862" w14:textId="3BD37D09" w:rsidR="009C0A96" w:rsidRPr="009B0F1D" w:rsidRDefault="003C7E29" w:rsidP="00EC3C5F">
            <w:pPr>
              <w:pStyle w:val="NormalWeb"/>
              <w:numPr>
                <w:ilvl w:val="0"/>
                <w:numId w:val="12"/>
              </w:numPr>
              <w:spacing w:before="0" w:beforeAutospacing="0" w:after="120" w:afterAutospacing="0" w:line="276" w:lineRule="auto"/>
              <w:rPr>
                <w:rFonts w:ascii="Arial" w:hAnsi="Arial" w:cs="Arial"/>
                <w:sz w:val="20"/>
                <w:szCs w:val="20"/>
                <w:lang w:val="es-ES"/>
              </w:rPr>
            </w:pPr>
            <w:r>
              <w:rPr>
                <w:rFonts w:ascii="Arial" w:hAnsi="Arial" w:cs="Arial"/>
                <w:sz w:val="20"/>
                <w:szCs w:val="20"/>
                <w:lang w:val="es-ES"/>
              </w:rPr>
              <w:t>Entorno</w:t>
            </w:r>
            <w:r w:rsidR="009C0A96" w:rsidRPr="009B0F1D">
              <w:rPr>
                <w:rFonts w:ascii="Arial" w:hAnsi="Arial" w:cs="Arial"/>
                <w:sz w:val="20"/>
                <w:szCs w:val="20"/>
                <w:lang w:val="es-ES"/>
              </w:rPr>
              <w:t xml:space="preserve"> Operativo – 33 % de la puntuación</w:t>
            </w:r>
          </w:p>
          <w:p w14:paraId="6ED32553" w14:textId="0A5A2B18"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Protección contra Interferencias – 33 % de la puntuación</w:t>
            </w:r>
          </w:p>
        </w:tc>
      </w:tr>
      <w:tr w:rsidR="009C0A96" w:rsidRPr="009B0F1D" w14:paraId="426F69D4" w14:textId="77777777" w:rsidTr="009C0A96">
        <w:tc>
          <w:tcPr>
            <w:tcW w:w="0" w:type="auto"/>
          </w:tcPr>
          <w:p w14:paraId="1D9D0744" w14:textId="6173FCB9" w:rsidR="009C0A96" w:rsidRPr="009B0F1D" w:rsidRDefault="00C468A6" w:rsidP="00EC3C5F">
            <w:pPr>
              <w:pStyle w:val="NormalWeb"/>
              <w:spacing w:before="0" w:beforeAutospacing="0" w:after="120" w:afterAutospacing="0" w:line="276" w:lineRule="auto"/>
              <w:rPr>
                <w:rFonts w:ascii="Arial" w:hAnsi="Arial" w:cs="Arial"/>
                <w:b/>
                <w:bCs/>
                <w:sz w:val="20"/>
                <w:szCs w:val="20"/>
                <w:highlight w:val="yellow"/>
                <w:lang w:val="es-ES"/>
              </w:rPr>
            </w:pPr>
            <w:r w:rsidRPr="009B0F1D">
              <w:rPr>
                <w:rFonts w:ascii="Arial" w:hAnsi="Arial" w:cs="Arial"/>
                <w:b/>
                <w:bCs/>
                <w:sz w:val="20"/>
                <w:szCs w:val="20"/>
                <w:lang w:val="es-ES"/>
              </w:rPr>
              <w:t>Recursos accesibles y sostenibles</w:t>
            </w:r>
          </w:p>
        </w:tc>
        <w:tc>
          <w:tcPr>
            <w:tcW w:w="0" w:type="auto"/>
          </w:tcPr>
          <w:p w14:paraId="6069CA5C" w14:textId="77777777"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Accesibilidad – 50 % de la puntuación</w:t>
            </w:r>
          </w:p>
          <w:p w14:paraId="55850A94" w14:textId="77777777"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Eficacia – 25 % de la puntuación</w:t>
            </w:r>
          </w:p>
          <w:p w14:paraId="2C2C8177" w14:textId="6BF3C3D4"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Sostenibilidad – 25 % de la puntuación</w:t>
            </w:r>
          </w:p>
        </w:tc>
      </w:tr>
      <w:tr w:rsidR="009C0A96" w:rsidRPr="009B0F1D" w14:paraId="512C696D" w14:textId="77777777" w:rsidTr="009C0A96">
        <w:tc>
          <w:tcPr>
            <w:tcW w:w="0" w:type="auto"/>
          </w:tcPr>
          <w:p w14:paraId="2F63DB4A" w14:textId="2AA91F47" w:rsidR="009C0A96" w:rsidRPr="009B0F1D" w:rsidRDefault="00C468A6" w:rsidP="00EC3C5F">
            <w:pPr>
              <w:pStyle w:val="NormalWeb"/>
              <w:spacing w:before="0" w:beforeAutospacing="0" w:after="120" w:afterAutospacing="0" w:line="276" w:lineRule="auto"/>
              <w:rPr>
                <w:rFonts w:ascii="Arial" w:hAnsi="Arial" w:cs="Arial"/>
                <w:b/>
                <w:bCs/>
                <w:sz w:val="20"/>
                <w:szCs w:val="20"/>
                <w:highlight w:val="yellow"/>
                <w:lang w:val="es-ES"/>
              </w:rPr>
            </w:pPr>
            <w:r w:rsidRPr="009B0F1D">
              <w:rPr>
                <w:rFonts w:ascii="Arial" w:hAnsi="Arial" w:cs="Arial"/>
                <w:b/>
                <w:bCs/>
                <w:sz w:val="20"/>
                <w:szCs w:val="20"/>
                <w:lang w:val="es-ES"/>
              </w:rPr>
              <w:t>Estado abierto y receptivo</w:t>
            </w:r>
          </w:p>
        </w:tc>
        <w:tc>
          <w:tcPr>
            <w:tcW w:w="0" w:type="auto"/>
          </w:tcPr>
          <w:p w14:paraId="20B01BFB" w14:textId="77777777"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Transparencia – 40 % de la puntuación</w:t>
            </w:r>
          </w:p>
          <w:p w14:paraId="1F2E3458" w14:textId="77777777"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Participación – 40 % de la puntuación</w:t>
            </w:r>
          </w:p>
          <w:p w14:paraId="24E06FC4" w14:textId="4A9AC45F"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Rendición de Cuentas – 20 % de la puntuación</w:t>
            </w:r>
          </w:p>
        </w:tc>
      </w:tr>
      <w:tr w:rsidR="00C55B6A" w:rsidRPr="009B0F1D" w14:paraId="501F599E" w14:textId="77777777" w:rsidTr="009A7346">
        <w:trPr>
          <w:trHeight w:val="1173"/>
        </w:trPr>
        <w:tc>
          <w:tcPr>
            <w:tcW w:w="0" w:type="auto"/>
          </w:tcPr>
          <w:p w14:paraId="15821512" w14:textId="2CAE6D97" w:rsidR="00C55B6A" w:rsidRPr="00C55B6A" w:rsidRDefault="00C55B6A" w:rsidP="00EC3C5F">
            <w:pPr>
              <w:pStyle w:val="NormalWeb"/>
              <w:spacing w:before="0" w:beforeAutospacing="0" w:after="120" w:afterAutospacing="0" w:line="276" w:lineRule="auto"/>
              <w:rPr>
                <w:rFonts w:ascii="Arial" w:hAnsi="Arial" w:cs="Arial"/>
                <w:b/>
                <w:bCs/>
                <w:sz w:val="20"/>
                <w:szCs w:val="20"/>
                <w:lang w:val="es-UY"/>
              </w:rPr>
            </w:pPr>
            <w:r w:rsidRPr="00AF28B3">
              <w:rPr>
                <w:rFonts w:ascii="Arial" w:hAnsi="Arial" w:cs="Arial"/>
                <w:b/>
                <w:bCs/>
                <w:sz w:val="20"/>
                <w:szCs w:val="20"/>
                <w:lang w:val="es-ES"/>
              </w:rPr>
              <w:t>Cultura pública y discursos favorables hacia la sociedad civil</w:t>
            </w:r>
          </w:p>
        </w:tc>
        <w:tc>
          <w:tcPr>
            <w:tcW w:w="0" w:type="auto"/>
          </w:tcPr>
          <w:p w14:paraId="305E54B9" w14:textId="77777777" w:rsidR="00C55B6A" w:rsidRPr="00C55B6A" w:rsidRDefault="00C55B6A" w:rsidP="00EC3C5F">
            <w:pPr>
              <w:pStyle w:val="NormalWeb"/>
              <w:numPr>
                <w:ilvl w:val="0"/>
                <w:numId w:val="12"/>
              </w:numPr>
              <w:spacing w:before="0" w:beforeAutospacing="0" w:after="120" w:afterAutospacing="0" w:line="276" w:lineRule="auto"/>
              <w:rPr>
                <w:rFonts w:ascii="Arial" w:hAnsi="Arial" w:cs="Arial"/>
                <w:sz w:val="20"/>
                <w:szCs w:val="20"/>
                <w:lang w:val="es-UY"/>
              </w:rPr>
            </w:pPr>
            <w:r w:rsidRPr="00C55B6A">
              <w:rPr>
                <w:rFonts w:ascii="Arial" w:hAnsi="Arial" w:cs="Arial"/>
                <w:sz w:val="20"/>
                <w:szCs w:val="20"/>
                <w:lang w:val="es-ES"/>
              </w:rPr>
              <w:t>Discurso Público y Diálogo Constructivo sobre la Sociedad Civil – 33 % de la puntuación</w:t>
            </w:r>
          </w:p>
          <w:p w14:paraId="1AD930CB" w14:textId="77777777" w:rsidR="00C55B6A" w:rsidRPr="00C55B6A" w:rsidRDefault="00C55B6A" w:rsidP="00EC3C5F">
            <w:pPr>
              <w:pStyle w:val="NormalWeb"/>
              <w:numPr>
                <w:ilvl w:val="0"/>
                <w:numId w:val="12"/>
              </w:numPr>
              <w:spacing w:before="0" w:beforeAutospacing="0" w:after="120" w:afterAutospacing="0" w:line="276" w:lineRule="auto"/>
              <w:rPr>
                <w:rFonts w:ascii="Arial" w:hAnsi="Arial" w:cs="Arial"/>
                <w:sz w:val="20"/>
                <w:szCs w:val="20"/>
                <w:lang w:val="es-UY"/>
              </w:rPr>
            </w:pPr>
            <w:r w:rsidRPr="00C55B6A">
              <w:rPr>
                <w:rFonts w:ascii="Arial" w:hAnsi="Arial" w:cs="Arial"/>
                <w:sz w:val="20"/>
                <w:szCs w:val="20"/>
                <w:lang w:val="es-ES"/>
              </w:rPr>
              <w:t>Percepción de la Sociedad Civil y la Participación Cívica – 33 % de la puntuación</w:t>
            </w:r>
          </w:p>
          <w:p w14:paraId="3A6F04FE" w14:textId="0FC5CA7D" w:rsidR="00C55B6A" w:rsidRPr="00C55B6A" w:rsidRDefault="00C55B6A" w:rsidP="00EC3C5F">
            <w:pPr>
              <w:pStyle w:val="NormalWeb"/>
              <w:numPr>
                <w:ilvl w:val="0"/>
                <w:numId w:val="12"/>
              </w:numPr>
              <w:spacing w:before="0" w:beforeAutospacing="0" w:after="120" w:afterAutospacing="0" w:line="276" w:lineRule="auto"/>
              <w:rPr>
                <w:rFonts w:ascii="Arial" w:hAnsi="Arial" w:cs="Arial"/>
                <w:sz w:val="20"/>
                <w:szCs w:val="20"/>
                <w:lang w:val="es-UY"/>
              </w:rPr>
            </w:pPr>
            <w:r w:rsidRPr="00C55B6A">
              <w:rPr>
                <w:rFonts w:ascii="Arial" w:hAnsi="Arial" w:cs="Arial"/>
                <w:sz w:val="20"/>
                <w:szCs w:val="20"/>
                <w:lang w:val="es-ES"/>
              </w:rPr>
              <w:t>Igualdad e Inclusión Cívica – 33 % de la puntuación</w:t>
            </w:r>
          </w:p>
        </w:tc>
      </w:tr>
      <w:tr w:rsidR="009C0A96" w:rsidRPr="009B0F1D" w14:paraId="0C5EF06B" w14:textId="77777777" w:rsidTr="009C0A96">
        <w:tc>
          <w:tcPr>
            <w:tcW w:w="0" w:type="auto"/>
          </w:tcPr>
          <w:p w14:paraId="36CCD223" w14:textId="6A9FFBC1" w:rsidR="009C0A96" w:rsidRPr="009B0F1D" w:rsidRDefault="00C468A6" w:rsidP="00EC3C5F">
            <w:pPr>
              <w:pStyle w:val="NormalWeb"/>
              <w:spacing w:before="0" w:beforeAutospacing="0" w:after="120" w:afterAutospacing="0" w:line="276" w:lineRule="auto"/>
              <w:rPr>
                <w:rFonts w:ascii="Arial" w:hAnsi="Arial" w:cs="Arial"/>
                <w:b/>
                <w:bCs/>
                <w:sz w:val="20"/>
                <w:szCs w:val="20"/>
                <w:highlight w:val="yellow"/>
                <w:lang w:val="es-ES"/>
              </w:rPr>
            </w:pPr>
            <w:r w:rsidRPr="009B0F1D">
              <w:rPr>
                <w:rFonts w:ascii="Arial" w:hAnsi="Arial" w:cs="Arial"/>
                <w:b/>
                <w:bCs/>
                <w:sz w:val="20"/>
                <w:szCs w:val="20"/>
                <w:lang w:val="es-ES"/>
              </w:rPr>
              <w:lastRenderedPageBreak/>
              <w:t>Acceso a un entorno digital seguro</w:t>
            </w:r>
          </w:p>
        </w:tc>
        <w:tc>
          <w:tcPr>
            <w:tcW w:w="0" w:type="auto"/>
          </w:tcPr>
          <w:p w14:paraId="467BE512" w14:textId="77777777"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Derechos Digitales – 33 % de la puntuación</w:t>
            </w:r>
          </w:p>
          <w:p w14:paraId="1A0FABD9" w14:textId="77777777"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Seguridad y Privacidad Digital – 33 % de la puntuación</w:t>
            </w:r>
          </w:p>
          <w:p w14:paraId="6AA66433" w14:textId="328F0FF7" w:rsidR="009C0A96" w:rsidRPr="009B0F1D" w:rsidRDefault="009C0A96" w:rsidP="00EC3C5F">
            <w:pPr>
              <w:pStyle w:val="NormalWeb"/>
              <w:numPr>
                <w:ilvl w:val="0"/>
                <w:numId w:val="12"/>
              </w:numPr>
              <w:spacing w:before="0" w:beforeAutospacing="0" w:after="120" w:afterAutospacing="0" w:line="276" w:lineRule="auto"/>
              <w:rPr>
                <w:rFonts w:ascii="Arial" w:hAnsi="Arial" w:cs="Arial"/>
                <w:sz w:val="20"/>
                <w:szCs w:val="20"/>
                <w:lang w:val="es-ES"/>
              </w:rPr>
            </w:pPr>
            <w:r w:rsidRPr="009B0F1D">
              <w:rPr>
                <w:rFonts w:ascii="Arial" w:hAnsi="Arial" w:cs="Arial"/>
                <w:sz w:val="20"/>
                <w:szCs w:val="20"/>
                <w:lang w:val="es-ES"/>
              </w:rPr>
              <w:t>Accesibilidad Digital – 33 % de la puntuac</w:t>
            </w:r>
            <w:r w:rsidR="00C468A6" w:rsidRPr="009B0F1D">
              <w:rPr>
                <w:rFonts w:ascii="Arial" w:hAnsi="Arial" w:cs="Arial"/>
                <w:sz w:val="20"/>
                <w:szCs w:val="20"/>
                <w:lang w:val="es-ES"/>
              </w:rPr>
              <w:t>ión</w:t>
            </w:r>
          </w:p>
        </w:tc>
      </w:tr>
    </w:tbl>
    <w:p w14:paraId="6357C507" w14:textId="77777777" w:rsidR="00C674BD" w:rsidRDefault="00C674BD" w:rsidP="00EC3C5F">
      <w:pPr>
        <w:pStyle w:val="Heading2"/>
        <w:spacing w:before="0" w:after="120" w:line="276" w:lineRule="auto"/>
      </w:pPr>
    </w:p>
    <w:p w14:paraId="4E9EEEF9" w14:textId="4A6A1942" w:rsidR="00FD40FE" w:rsidRPr="009B0F1D" w:rsidRDefault="00FD40FE" w:rsidP="00EC3C5F">
      <w:pPr>
        <w:pStyle w:val="Heading2"/>
        <w:spacing w:before="0" w:after="120" w:line="276" w:lineRule="auto"/>
      </w:pPr>
      <w:bookmarkStart w:id="3" w:name="_Toc193301982"/>
      <w:r w:rsidRPr="009B0F1D">
        <w:t>REDACCIÓN DE INFORMES NACIONALES</w:t>
      </w:r>
      <w:bookmarkEnd w:id="3"/>
    </w:p>
    <w:p w14:paraId="0FDE82DD" w14:textId="319AECA6" w:rsidR="00FD40FE" w:rsidRPr="009B0F1D" w:rsidRDefault="00FD40FE" w:rsidP="00EC3C5F">
      <w:pPr>
        <w:pStyle w:val="NormalWeb"/>
        <w:spacing w:before="0" w:beforeAutospacing="0" w:after="120" w:afterAutospacing="0" w:line="276" w:lineRule="auto"/>
        <w:rPr>
          <w:rFonts w:ascii="Arial" w:hAnsi="Arial" w:cs="Arial"/>
          <w:sz w:val="22"/>
          <w:szCs w:val="22"/>
        </w:rPr>
      </w:pPr>
      <w:r w:rsidRPr="009B0F1D">
        <w:rPr>
          <w:rFonts w:ascii="Arial" w:hAnsi="Arial" w:cs="Arial"/>
          <w:sz w:val="22"/>
          <w:szCs w:val="22"/>
        </w:rPr>
        <w:t xml:space="preserve">Tras la evaluación, los </w:t>
      </w:r>
      <w:r w:rsidR="003C7E29">
        <w:rPr>
          <w:rFonts w:ascii="Arial" w:hAnsi="Arial" w:cs="Arial"/>
          <w:sz w:val="22"/>
          <w:szCs w:val="22"/>
        </w:rPr>
        <w:t>MR</w:t>
      </w:r>
      <w:r w:rsidRPr="009B0F1D">
        <w:rPr>
          <w:rFonts w:ascii="Arial" w:hAnsi="Arial" w:cs="Arial"/>
          <w:sz w:val="22"/>
          <w:szCs w:val="22"/>
        </w:rPr>
        <w:t xml:space="preserve"> deberán redactar la narrativa de los </w:t>
      </w:r>
      <w:r w:rsidR="0087349E" w:rsidRPr="009B0F1D">
        <w:rPr>
          <w:rFonts w:ascii="Arial" w:hAnsi="Arial" w:cs="Arial"/>
          <w:sz w:val="22"/>
          <w:szCs w:val="22"/>
        </w:rPr>
        <w:t>IEP</w:t>
      </w:r>
      <w:r w:rsidRPr="009B0F1D">
        <w:rPr>
          <w:rFonts w:ascii="Arial" w:hAnsi="Arial" w:cs="Arial"/>
          <w:sz w:val="22"/>
          <w:szCs w:val="22"/>
        </w:rPr>
        <w:t xml:space="preserve"> para el primer informe. La información debe extraerse de los últimos 12 meses desde la fecha en que se llevó a cabo la evaluación cuantitativa (fecha del panel). A partir del segundo año, los informes también deberán centrarse en la información recopilada desde el último informe.</w:t>
      </w:r>
    </w:p>
    <w:p w14:paraId="030CD7CC" w14:textId="77777777" w:rsidR="00FD40FE" w:rsidRPr="009B0F1D" w:rsidRDefault="00FD40FE" w:rsidP="00784B19">
      <w:pPr>
        <w:pStyle w:val="NormalWeb"/>
        <w:spacing w:before="0" w:beforeAutospacing="0" w:after="120" w:afterAutospacing="0" w:line="276" w:lineRule="auto"/>
        <w:jc w:val="both"/>
        <w:rPr>
          <w:rFonts w:ascii="Arial" w:hAnsi="Arial" w:cs="Arial"/>
          <w:b/>
          <w:bCs/>
          <w:sz w:val="22"/>
          <w:szCs w:val="22"/>
        </w:rPr>
      </w:pPr>
      <w:r w:rsidRPr="009B0F1D">
        <w:rPr>
          <w:rFonts w:ascii="Arial" w:hAnsi="Arial" w:cs="Arial"/>
          <w:b/>
          <w:bCs/>
          <w:sz w:val="22"/>
          <w:szCs w:val="22"/>
        </w:rPr>
        <w:t>G. REDACCIÓN DEL INFORME</w:t>
      </w:r>
    </w:p>
    <w:p w14:paraId="1EBF6B01" w14:textId="1DFBBCDD" w:rsidR="00FD40FE" w:rsidRPr="009B0F1D" w:rsidRDefault="00FD40FE" w:rsidP="00784B19">
      <w:pPr>
        <w:pStyle w:val="NormalWeb"/>
        <w:spacing w:before="0" w:beforeAutospacing="0" w:after="120" w:afterAutospacing="0" w:line="276" w:lineRule="auto"/>
        <w:jc w:val="both"/>
        <w:rPr>
          <w:rFonts w:ascii="Arial" w:hAnsi="Arial" w:cs="Arial"/>
          <w:sz w:val="22"/>
          <w:szCs w:val="22"/>
        </w:rPr>
      </w:pPr>
      <w:r w:rsidRPr="009B0F1D">
        <w:rPr>
          <w:rFonts w:ascii="Arial" w:hAnsi="Arial" w:cs="Arial"/>
          <w:sz w:val="22"/>
          <w:szCs w:val="22"/>
        </w:rPr>
        <w:t xml:space="preserve">Se proporcionará una plantilla de informe estandarizada que los </w:t>
      </w:r>
      <w:r w:rsidR="003C7E29">
        <w:rPr>
          <w:rFonts w:ascii="Arial" w:hAnsi="Arial" w:cs="Arial"/>
          <w:sz w:val="22"/>
          <w:szCs w:val="22"/>
        </w:rPr>
        <w:t>MR</w:t>
      </w:r>
      <w:r w:rsidR="0087349E" w:rsidRPr="009B0F1D">
        <w:rPr>
          <w:rFonts w:ascii="Arial" w:hAnsi="Arial" w:cs="Arial"/>
          <w:sz w:val="22"/>
          <w:szCs w:val="22"/>
        </w:rPr>
        <w:t xml:space="preserve"> </w:t>
      </w:r>
      <w:r w:rsidRPr="009B0F1D">
        <w:rPr>
          <w:rFonts w:ascii="Arial" w:hAnsi="Arial" w:cs="Arial"/>
          <w:sz w:val="22"/>
          <w:szCs w:val="22"/>
        </w:rPr>
        <w:t xml:space="preserve">deberán completar. Esta plantilla servirá como esquema para el informe final (de 10 a 15 páginas, con secciones </w:t>
      </w:r>
      <w:r w:rsidR="002762C1" w:rsidRPr="009B0F1D">
        <w:rPr>
          <w:rFonts w:ascii="Arial" w:hAnsi="Arial" w:cs="Arial"/>
          <w:sz w:val="22"/>
          <w:szCs w:val="22"/>
        </w:rPr>
        <w:t>de una</w:t>
      </w:r>
      <w:r w:rsidRPr="009B0F1D">
        <w:rPr>
          <w:rFonts w:ascii="Arial" w:hAnsi="Arial" w:cs="Arial"/>
          <w:sz w:val="22"/>
          <w:szCs w:val="22"/>
        </w:rPr>
        <w:t xml:space="preserve"> extensión indicada a continuación), e incluirá hallazgos clav</w:t>
      </w:r>
      <w:r w:rsidR="002762C1" w:rsidRPr="009B0F1D">
        <w:rPr>
          <w:rFonts w:ascii="Arial" w:hAnsi="Arial" w:cs="Arial"/>
          <w:sz w:val="22"/>
          <w:szCs w:val="22"/>
        </w:rPr>
        <w:t>e</w:t>
      </w:r>
      <w:r w:rsidRPr="009B0F1D">
        <w:rPr>
          <w:rFonts w:ascii="Arial" w:hAnsi="Arial" w:cs="Arial"/>
          <w:sz w:val="22"/>
          <w:szCs w:val="22"/>
        </w:rPr>
        <w:t>, estudios de caso (si los hubiera) y recomendaciones.</w:t>
      </w:r>
    </w:p>
    <w:p w14:paraId="228BB674" w14:textId="77777777" w:rsidR="00FD40FE" w:rsidRDefault="00FD40FE" w:rsidP="00784B19">
      <w:pPr>
        <w:pStyle w:val="NormalWeb"/>
        <w:spacing w:before="0" w:beforeAutospacing="0" w:after="120" w:afterAutospacing="0" w:line="276" w:lineRule="auto"/>
        <w:jc w:val="both"/>
        <w:rPr>
          <w:rFonts w:ascii="Arial" w:hAnsi="Arial" w:cs="Arial"/>
          <w:sz w:val="22"/>
          <w:szCs w:val="22"/>
        </w:rPr>
      </w:pPr>
      <w:r w:rsidRPr="009B0F1D">
        <w:rPr>
          <w:rFonts w:ascii="Arial" w:hAnsi="Arial" w:cs="Arial"/>
          <w:sz w:val="22"/>
          <w:szCs w:val="22"/>
        </w:rPr>
        <w:t>El informe se estructura de la siguiente manera:</w:t>
      </w:r>
    </w:p>
    <w:p w14:paraId="66298CA6" w14:textId="2E869AFA" w:rsidR="00C55B6A" w:rsidRPr="009B0F1D" w:rsidRDefault="00C55B6A" w:rsidP="00EC3C5F">
      <w:pPr>
        <w:pStyle w:val="NormalWeb"/>
        <w:spacing w:before="0" w:beforeAutospacing="0" w:after="120" w:afterAutospacing="0" w:line="276" w:lineRule="auto"/>
        <w:rPr>
          <w:rFonts w:ascii="Arial" w:hAnsi="Arial" w:cs="Arial"/>
          <w:sz w:val="22"/>
          <w:szCs w:val="22"/>
        </w:rPr>
      </w:pPr>
      <w:r>
        <w:rPr>
          <w:rFonts w:ascii="Arial" w:hAnsi="Arial" w:cs="Arial"/>
          <w:sz w:val="22"/>
          <w:szCs w:val="22"/>
        </w:rPr>
        <w:t>_____________________________________________________________________</w:t>
      </w:r>
    </w:p>
    <w:p w14:paraId="7FF46FE1" w14:textId="513ECBAC"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 xml:space="preserve">A. Introducción al </w:t>
      </w:r>
      <w:r w:rsidR="0087349E" w:rsidRPr="009B0F1D">
        <w:rPr>
          <w:rFonts w:ascii="Arial" w:hAnsi="Arial" w:cs="Arial"/>
          <w:b/>
          <w:bCs/>
          <w:color w:val="1F3864" w:themeColor="accent1" w:themeShade="80"/>
          <w:sz w:val="22"/>
          <w:szCs w:val="22"/>
        </w:rPr>
        <w:t>Ambiente Habilitante</w:t>
      </w:r>
      <w:r w:rsidRPr="009B0F1D">
        <w:rPr>
          <w:rFonts w:ascii="Arial" w:hAnsi="Arial" w:cs="Arial"/>
          <w:b/>
          <w:bCs/>
          <w:color w:val="1F3864" w:themeColor="accent1" w:themeShade="80"/>
          <w:sz w:val="22"/>
          <w:szCs w:val="22"/>
        </w:rPr>
        <w:t xml:space="preserve"> en el país (1 página)</w:t>
      </w:r>
    </w:p>
    <w:p w14:paraId="5F750A1D" w14:textId="22BDF947" w:rsidR="00FD40FE" w:rsidRPr="009B0F1D" w:rsidRDefault="00FD40FE" w:rsidP="00EC3C5F">
      <w:pPr>
        <w:pStyle w:val="NormalWeb"/>
        <w:numPr>
          <w:ilvl w:val="0"/>
          <w:numId w:val="14"/>
        </w:numPr>
        <w:spacing w:before="0" w:beforeAutospacing="0" w:after="120" w:afterAutospacing="0" w:line="276" w:lineRule="auto"/>
        <w:rPr>
          <w:rFonts w:ascii="Arial" w:hAnsi="Arial" w:cs="Arial"/>
          <w:sz w:val="22"/>
          <w:szCs w:val="22"/>
        </w:rPr>
      </w:pPr>
      <w:r w:rsidRPr="009B0F1D">
        <w:rPr>
          <w:rFonts w:ascii="Arial" w:hAnsi="Arial" w:cs="Arial"/>
          <w:sz w:val="22"/>
          <w:szCs w:val="22"/>
        </w:rPr>
        <w:t xml:space="preserve">¿Qué es un </w:t>
      </w:r>
      <w:r w:rsidR="0087349E" w:rsidRPr="009B0F1D">
        <w:rPr>
          <w:rFonts w:ascii="Arial" w:hAnsi="Arial" w:cs="Arial"/>
          <w:sz w:val="22"/>
          <w:szCs w:val="22"/>
        </w:rPr>
        <w:t>IEP</w:t>
      </w:r>
      <w:r w:rsidRPr="009B0F1D">
        <w:rPr>
          <w:rFonts w:ascii="Arial" w:hAnsi="Arial" w:cs="Arial"/>
          <w:sz w:val="22"/>
          <w:szCs w:val="22"/>
        </w:rPr>
        <w:t xml:space="preserve"> y qué se encontrará en el informe? El papel de la sociedad civil en la promoción de los valores democráticos y la importancia de un </w:t>
      </w:r>
      <w:r w:rsidR="0087349E" w:rsidRPr="009B0F1D">
        <w:rPr>
          <w:rFonts w:ascii="Arial" w:hAnsi="Arial" w:cs="Arial"/>
          <w:sz w:val="22"/>
          <w:szCs w:val="22"/>
        </w:rPr>
        <w:t>ambiente habilitante</w:t>
      </w:r>
      <w:r w:rsidRPr="009B0F1D">
        <w:rPr>
          <w:rFonts w:ascii="Arial" w:hAnsi="Arial" w:cs="Arial"/>
          <w:sz w:val="22"/>
          <w:szCs w:val="22"/>
        </w:rPr>
        <w:t xml:space="preserve"> (redactado por el consorcio).</w:t>
      </w:r>
    </w:p>
    <w:p w14:paraId="2811F2A6" w14:textId="77777777" w:rsidR="00FD40FE" w:rsidRPr="009B0F1D" w:rsidRDefault="00FD40FE" w:rsidP="00EC3C5F">
      <w:pPr>
        <w:pStyle w:val="NormalWeb"/>
        <w:numPr>
          <w:ilvl w:val="0"/>
          <w:numId w:val="14"/>
        </w:numPr>
        <w:spacing w:before="0" w:beforeAutospacing="0" w:after="120" w:afterAutospacing="0" w:line="276" w:lineRule="auto"/>
        <w:rPr>
          <w:rFonts w:ascii="Arial" w:hAnsi="Arial" w:cs="Arial"/>
          <w:sz w:val="22"/>
          <w:szCs w:val="22"/>
        </w:rPr>
      </w:pPr>
      <w:r w:rsidRPr="009B0F1D">
        <w:rPr>
          <w:rFonts w:ascii="Arial" w:hAnsi="Arial" w:cs="Arial"/>
          <w:sz w:val="22"/>
          <w:szCs w:val="22"/>
        </w:rPr>
        <w:t>Breve panorama del contexto del país.</w:t>
      </w:r>
    </w:p>
    <w:p w14:paraId="5396844C"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B. Principio 1 (1-2 páginas)</w:t>
      </w:r>
    </w:p>
    <w:p w14:paraId="505E4813" w14:textId="77777777" w:rsidR="00FD40FE" w:rsidRPr="009B0F1D" w:rsidRDefault="00FD40FE" w:rsidP="00EC3C5F">
      <w:pPr>
        <w:pStyle w:val="NormalWeb"/>
        <w:numPr>
          <w:ilvl w:val="0"/>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Puntuación general del principio.</w:t>
      </w:r>
    </w:p>
    <w:p w14:paraId="4BFFF364" w14:textId="77777777" w:rsidR="00FD40FE" w:rsidRPr="009B0F1D" w:rsidRDefault="00FD40FE" w:rsidP="00EC3C5F">
      <w:pPr>
        <w:pStyle w:val="NormalWeb"/>
        <w:numPr>
          <w:ilvl w:val="0"/>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Narrativa que respalde la puntuación basada en:</w:t>
      </w:r>
    </w:p>
    <w:p w14:paraId="35293226" w14:textId="4EC988E6" w:rsidR="00FD40FE" w:rsidRPr="009B0F1D" w:rsidRDefault="00FD40FE" w:rsidP="00EC3C5F">
      <w:pPr>
        <w:pStyle w:val="NormalWeb"/>
        <w:numPr>
          <w:ilvl w:val="1"/>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Aportes de los participantes del panel.</w:t>
      </w:r>
    </w:p>
    <w:p w14:paraId="0875A816" w14:textId="22DB0494" w:rsidR="00FD40FE" w:rsidRPr="009B0F1D" w:rsidRDefault="00FD40FE" w:rsidP="00EC3C5F">
      <w:pPr>
        <w:pStyle w:val="NormalWeb"/>
        <w:numPr>
          <w:ilvl w:val="1"/>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 xml:space="preserve">Información compartida a lo largo del año a través del </w:t>
      </w:r>
      <w:r w:rsidR="0087349E" w:rsidRPr="009B0F1D">
        <w:rPr>
          <w:rFonts w:ascii="Arial" w:hAnsi="Arial" w:cs="Arial"/>
          <w:sz w:val="22"/>
          <w:szCs w:val="22"/>
        </w:rPr>
        <w:t>MAT.</w:t>
      </w:r>
    </w:p>
    <w:p w14:paraId="24BE0406" w14:textId="6B3E2863" w:rsidR="00FD40FE" w:rsidRPr="009B0F1D" w:rsidRDefault="00FD40FE" w:rsidP="00EC3C5F">
      <w:pPr>
        <w:pStyle w:val="NormalWeb"/>
        <w:numPr>
          <w:ilvl w:val="1"/>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 xml:space="preserve">Análisis de otras fuentes que evalúen el </w:t>
      </w:r>
      <w:r w:rsidR="0087349E" w:rsidRPr="009B0F1D">
        <w:rPr>
          <w:rFonts w:ascii="Arial" w:hAnsi="Arial" w:cs="Arial"/>
          <w:sz w:val="22"/>
          <w:szCs w:val="22"/>
        </w:rPr>
        <w:t>ambiente</w:t>
      </w:r>
      <w:r w:rsidRPr="009B0F1D">
        <w:rPr>
          <w:rFonts w:ascii="Arial" w:hAnsi="Arial" w:cs="Arial"/>
          <w:sz w:val="22"/>
          <w:szCs w:val="22"/>
        </w:rPr>
        <w:t xml:space="preserve"> habilitante.</w:t>
      </w:r>
    </w:p>
    <w:p w14:paraId="28AD1E37" w14:textId="77777777" w:rsidR="00FD40FE" w:rsidRPr="009B0F1D" w:rsidRDefault="00FD40FE" w:rsidP="00EC3C5F">
      <w:pPr>
        <w:pStyle w:val="NormalWeb"/>
        <w:numPr>
          <w:ilvl w:val="0"/>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Estudio de caso (si lo hubiera) para destacar.</w:t>
      </w:r>
    </w:p>
    <w:p w14:paraId="146CFB20"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C. Principio 2 (1-2 páginas)</w:t>
      </w:r>
    </w:p>
    <w:p w14:paraId="289CB734"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Puntuación general del principio.</w:t>
      </w:r>
    </w:p>
    <w:p w14:paraId="1F2CFB51"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Narrativa que respalde la puntuación basada en:</w:t>
      </w:r>
    </w:p>
    <w:p w14:paraId="1BB21976"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Aportes de los participantes del panel.</w:t>
      </w:r>
    </w:p>
    <w:p w14:paraId="1A877ED7"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Información compartida a lo largo del año a través del MAT.</w:t>
      </w:r>
    </w:p>
    <w:p w14:paraId="5B19AFB5"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Análisis de otras fuentes que evalúen el ambiente habilitante.</w:t>
      </w:r>
    </w:p>
    <w:p w14:paraId="0376960A"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Estudio de caso (si lo hubiera) para destacar.</w:t>
      </w:r>
    </w:p>
    <w:p w14:paraId="1446E672"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lastRenderedPageBreak/>
        <w:t>D. Principio 3 (1-2 páginas)</w:t>
      </w:r>
    </w:p>
    <w:p w14:paraId="7766A498" w14:textId="77777777" w:rsidR="0087349E" w:rsidRPr="009B0F1D" w:rsidRDefault="0087349E" w:rsidP="00EC3C5F">
      <w:pPr>
        <w:pStyle w:val="NormalWeb"/>
        <w:numPr>
          <w:ilvl w:val="0"/>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Puntuación general del principio.</w:t>
      </w:r>
    </w:p>
    <w:p w14:paraId="37C54671" w14:textId="77777777" w:rsidR="0087349E" w:rsidRPr="009B0F1D" w:rsidRDefault="0087349E" w:rsidP="00EC3C5F">
      <w:pPr>
        <w:pStyle w:val="NormalWeb"/>
        <w:numPr>
          <w:ilvl w:val="0"/>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Narrativa que respalde la puntuación basada en:</w:t>
      </w:r>
    </w:p>
    <w:p w14:paraId="262C3432" w14:textId="77777777" w:rsidR="0087349E" w:rsidRPr="009B0F1D" w:rsidRDefault="0087349E" w:rsidP="00EC3C5F">
      <w:pPr>
        <w:pStyle w:val="NormalWeb"/>
        <w:numPr>
          <w:ilvl w:val="1"/>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Aportes de los participantes del panel.</w:t>
      </w:r>
    </w:p>
    <w:p w14:paraId="08DB1F29" w14:textId="77777777" w:rsidR="0087349E" w:rsidRPr="009B0F1D" w:rsidRDefault="0087349E" w:rsidP="00EC3C5F">
      <w:pPr>
        <w:pStyle w:val="NormalWeb"/>
        <w:numPr>
          <w:ilvl w:val="1"/>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Información compartida a lo largo del año a través del MAT.</w:t>
      </w:r>
    </w:p>
    <w:p w14:paraId="594715D3" w14:textId="77777777" w:rsidR="0087349E" w:rsidRPr="009B0F1D" w:rsidRDefault="0087349E" w:rsidP="00EC3C5F">
      <w:pPr>
        <w:pStyle w:val="NormalWeb"/>
        <w:numPr>
          <w:ilvl w:val="1"/>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Análisis de otras fuentes que evalúen el ambiente habilitante.</w:t>
      </w:r>
    </w:p>
    <w:p w14:paraId="171D26C2" w14:textId="77777777" w:rsidR="0087349E" w:rsidRPr="009B0F1D" w:rsidRDefault="0087349E" w:rsidP="00EC3C5F">
      <w:pPr>
        <w:pStyle w:val="NormalWeb"/>
        <w:numPr>
          <w:ilvl w:val="0"/>
          <w:numId w:val="15"/>
        </w:numPr>
        <w:spacing w:before="0" w:beforeAutospacing="0" w:after="120" w:afterAutospacing="0" w:line="276" w:lineRule="auto"/>
        <w:rPr>
          <w:rFonts w:ascii="Arial" w:hAnsi="Arial" w:cs="Arial"/>
          <w:sz w:val="22"/>
          <w:szCs w:val="22"/>
        </w:rPr>
      </w:pPr>
      <w:r w:rsidRPr="009B0F1D">
        <w:rPr>
          <w:rFonts w:ascii="Arial" w:hAnsi="Arial" w:cs="Arial"/>
          <w:sz w:val="22"/>
          <w:szCs w:val="22"/>
        </w:rPr>
        <w:t>Estudio de caso (si lo hubiera) para destacar.</w:t>
      </w:r>
    </w:p>
    <w:p w14:paraId="337AD767"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E. Principio 4 (1-2 páginas)</w:t>
      </w:r>
    </w:p>
    <w:p w14:paraId="3130CD74"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Puntuación general del principio.</w:t>
      </w:r>
    </w:p>
    <w:p w14:paraId="38469EF4"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Narrativa que respalde la puntuación basada en:</w:t>
      </w:r>
    </w:p>
    <w:p w14:paraId="084CB8E2"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Aportes de los participantes del panel.</w:t>
      </w:r>
    </w:p>
    <w:p w14:paraId="025D5919"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Información compartida a lo largo del año a través del MAT.</w:t>
      </w:r>
    </w:p>
    <w:p w14:paraId="522FC0E3"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Análisis de otras fuentes que evalúen el ambiente habilitante.</w:t>
      </w:r>
    </w:p>
    <w:p w14:paraId="6F305E99" w14:textId="60837C64" w:rsidR="00FD40F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Estudio de caso (si lo hubiera) para destacar.</w:t>
      </w:r>
    </w:p>
    <w:p w14:paraId="2DAA15CF"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F. Principio 5 (1-2 páginas)</w:t>
      </w:r>
    </w:p>
    <w:p w14:paraId="78D56293"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Puntuación general del principio.</w:t>
      </w:r>
    </w:p>
    <w:p w14:paraId="2D33AA00"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Narrativa que respalde la puntuación basada en:</w:t>
      </w:r>
    </w:p>
    <w:p w14:paraId="320D7A92"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Aportes de los participantes del panel.</w:t>
      </w:r>
    </w:p>
    <w:p w14:paraId="4A241233"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Información compartida a lo largo del año a través del MAT.</w:t>
      </w:r>
    </w:p>
    <w:p w14:paraId="64DAFC3A"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Análisis de otras fuentes que evalúen el ambiente habilitante.</w:t>
      </w:r>
    </w:p>
    <w:p w14:paraId="341B0EB5" w14:textId="0ABEEC4C" w:rsidR="002762C1"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Estudio de caso (si lo hubiera) para destacar.</w:t>
      </w:r>
    </w:p>
    <w:p w14:paraId="18913FDE"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G. Principio 6 (1-2 páginas)</w:t>
      </w:r>
    </w:p>
    <w:p w14:paraId="7EBF8043"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Puntuación general del principio.</w:t>
      </w:r>
    </w:p>
    <w:p w14:paraId="13A8976F" w14:textId="77777777" w:rsidR="0087349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Narrativa que respalde la puntuación basada en:</w:t>
      </w:r>
    </w:p>
    <w:p w14:paraId="45C63200"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Aportes de los participantes del panel.</w:t>
      </w:r>
    </w:p>
    <w:p w14:paraId="5F78F813"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Información compartida a lo largo del año a través del MAT.</w:t>
      </w:r>
    </w:p>
    <w:p w14:paraId="3ED1D515" w14:textId="77777777" w:rsidR="0087349E" w:rsidRPr="009B0F1D" w:rsidRDefault="0087349E" w:rsidP="00EC3C5F">
      <w:pPr>
        <w:pStyle w:val="NormalWeb"/>
        <w:numPr>
          <w:ilvl w:val="1"/>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Análisis de otras fuentes que evalúen el ambiente habilitante.</w:t>
      </w:r>
    </w:p>
    <w:p w14:paraId="7AC233E1" w14:textId="697A8346" w:rsidR="00FD40FE" w:rsidRPr="009B0F1D" w:rsidRDefault="0087349E" w:rsidP="00EC3C5F">
      <w:pPr>
        <w:pStyle w:val="NormalWeb"/>
        <w:numPr>
          <w:ilvl w:val="0"/>
          <w:numId w:val="17"/>
        </w:numPr>
        <w:spacing w:before="0" w:beforeAutospacing="0" w:after="120" w:afterAutospacing="0" w:line="276" w:lineRule="auto"/>
        <w:rPr>
          <w:rFonts w:ascii="Arial" w:hAnsi="Arial" w:cs="Arial"/>
          <w:sz w:val="22"/>
          <w:szCs w:val="22"/>
        </w:rPr>
      </w:pPr>
      <w:r w:rsidRPr="009B0F1D">
        <w:rPr>
          <w:rFonts w:ascii="Arial" w:hAnsi="Arial" w:cs="Arial"/>
          <w:sz w:val="22"/>
          <w:szCs w:val="22"/>
        </w:rPr>
        <w:t>Estudio de caso (si lo hubiera) para destacar.</w:t>
      </w:r>
    </w:p>
    <w:p w14:paraId="074D3701"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H. Recomendaciones (1 página)</w:t>
      </w:r>
    </w:p>
    <w:p w14:paraId="3685B051" w14:textId="66E6666A" w:rsidR="00FD40FE" w:rsidRPr="009B0F1D" w:rsidRDefault="00FD40FE" w:rsidP="00EC3C5F">
      <w:pPr>
        <w:pStyle w:val="NormalWeb"/>
        <w:spacing w:before="0" w:beforeAutospacing="0" w:after="120" w:afterAutospacing="0" w:line="276" w:lineRule="auto"/>
        <w:rPr>
          <w:rFonts w:ascii="Arial" w:hAnsi="Arial" w:cs="Arial"/>
          <w:sz w:val="22"/>
          <w:szCs w:val="22"/>
        </w:rPr>
      </w:pPr>
      <w:r w:rsidRPr="009B0F1D">
        <w:rPr>
          <w:rFonts w:ascii="Arial" w:hAnsi="Arial" w:cs="Arial"/>
          <w:sz w:val="22"/>
          <w:szCs w:val="22"/>
        </w:rPr>
        <w:t>Proporcione recomendaciones dirigidas a los actores relevantes, por ejemplo:</w:t>
      </w:r>
      <w:r w:rsidR="006373D5" w:rsidRPr="009B0F1D">
        <w:rPr>
          <w:rFonts w:ascii="Arial" w:hAnsi="Arial" w:cs="Arial"/>
          <w:sz w:val="22"/>
          <w:szCs w:val="22"/>
        </w:rPr>
        <w:t xml:space="preserve"> g</w:t>
      </w:r>
      <w:r w:rsidRPr="009B0F1D">
        <w:rPr>
          <w:rFonts w:ascii="Arial" w:hAnsi="Arial" w:cs="Arial"/>
          <w:sz w:val="22"/>
          <w:szCs w:val="22"/>
        </w:rPr>
        <w:t>obierno (especificando ministerios o departamentos cuando sea posible)</w:t>
      </w:r>
      <w:r w:rsidR="006373D5" w:rsidRPr="009B0F1D">
        <w:rPr>
          <w:rFonts w:ascii="Arial" w:hAnsi="Arial" w:cs="Arial"/>
          <w:sz w:val="22"/>
          <w:szCs w:val="22"/>
        </w:rPr>
        <w:t>, d</w:t>
      </w:r>
      <w:r w:rsidRPr="009B0F1D">
        <w:rPr>
          <w:rFonts w:ascii="Arial" w:hAnsi="Arial" w:cs="Arial"/>
          <w:sz w:val="22"/>
          <w:szCs w:val="22"/>
        </w:rPr>
        <w:t>onantes</w:t>
      </w:r>
      <w:r w:rsidR="006373D5" w:rsidRPr="009B0F1D">
        <w:rPr>
          <w:rFonts w:ascii="Arial" w:hAnsi="Arial" w:cs="Arial"/>
          <w:sz w:val="22"/>
          <w:szCs w:val="22"/>
        </w:rPr>
        <w:t>, c</w:t>
      </w:r>
      <w:r w:rsidRPr="009B0F1D">
        <w:rPr>
          <w:rFonts w:ascii="Arial" w:hAnsi="Arial" w:cs="Arial"/>
          <w:sz w:val="22"/>
          <w:szCs w:val="22"/>
        </w:rPr>
        <w:t>omunidad internacional</w:t>
      </w:r>
      <w:r w:rsidR="006373D5" w:rsidRPr="009B0F1D">
        <w:rPr>
          <w:rFonts w:ascii="Arial" w:hAnsi="Arial" w:cs="Arial"/>
          <w:sz w:val="22"/>
          <w:szCs w:val="22"/>
        </w:rPr>
        <w:t>, OSC, etc.</w:t>
      </w:r>
    </w:p>
    <w:p w14:paraId="41C9DC7B" w14:textId="77777777" w:rsidR="00FD40FE" w:rsidRPr="009B0F1D" w:rsidRDefault="00FD40FE" w:rsidP="00EC3C5F">
      <w:pPr>
        <w:pStyle w:val="NormalWeb"/>
        <w:spacing w:before="0" w:beforeAutospacing="0" w:after="120" w:afterAutospacing="0" w:line="276" w:lineRule="auto"/>
        <w:rPr>
          <w:rFonts w:ascii="Arial" w:hAnsi="Arial" w:cs="Arial"/>
          <w:b/>
          <w:bCs/>
          <w:color w:val="1F3864" w:themeColor="accent1" w:themeShade="80"/>
          <w:sz w:val="22"/>
          <w:szCs w:val="22"/>
        </w:rPr>
      </w:pPr>
      <w:r w:rsidRPr="009B0F1D">
        <w:rPr>
          <w:rFonts w:ascii="Arial" w:hAnsi="Arial" w:cs="Arial"/>
          <w:b/>
          <w:bCs/>
          <w:color w:val="1F3864" w:themeColor="accent1" w:themeShade="80"/>
          <w:sz w:val="22"/>
          <w:szCs w:val="22"/>
        </w:rPr>
        <w:t>I. Proceso de investigación (½ página)</w:t>
      </w:r>
    </w:p>
    <w:p w14:paraId="1734E917" w14:textId="7CCBE1BB" w:rsidR="009C0A96" w:rsidRDefault="00FD40FE" w:rsidP="00EC3C5F">
      <w:pPr>
        <w:pStyle w:val="NormalWeb"/>
        <w:spacing w:before="0" w:beforeAutospacing="0" w:after="120" w:afterAutospacing="0" w:line="276" w:lineRule="auto"/>
        <w:rPr>
          <w:rFonts w:ascii="Arial" w:hAnsi="Arial" w:cs="Arial"/>
          <w:sz w:val="22"/>
          <w:szCs w:val="22"/>
        </w:rPr>
      </w:pPr>
      <w:r w:rsidRPr="009B0F1D">
        <w:rPr>
          <w:rFonts w:ascii="Arial" w:hAnsi="Arial" w:cs="Arial"/>
          <w:sz w:val="22"/>
          <w:szCs w:val="22"/>
        </w:rPr>
        <w:lastRenderedPageBreak/>
        <w:t xml:space="preserve">Explicación del ciclo de investigación y la metodología utilizada para elaborar el </w:t>
      </w:r>
      <w:r w:rsidR="0087349E" w:rsidRPr="009B0F1D">
        <w:rPr>
          <w:rFonts w:ascii="Arial" w:hAnsi="Arial" w:cs="Arial"/>
          <w:sz w:val="22"/>
          <w:szCs w:val="22"/>
        </w:rPr>
        <w:t>IEP</w:t>
      </w:r>
      <w:r w:rsidRPr="009B0F1D">
        <w:rPr>
          <w:rFonts w:ascii="Arial" w:hAnsi="Arial" w:cs="Arial"/>
          <w:sz w:val="22"/>
          <w:szCs w:val="22"/>
        </w:rPr>
        <w:t xml:space="preserve"> (redactado por el consorcio).</w:t>
      </w:r>
    </w:p>
    <w:p w14:paraId="67EFBED2" w14:textId="77777777" w:rsidR="00C55B6A" w:rsidRPr="009B0F1D" w:rsidRDefault="00C55B6A" w:rsidP="00C55B6A">
      <w:pPr>
        <w:pStyle w:val="NormalWeb"/>
        <w:spacing w:before="0" w:beforeAutospacing="0" w:after="120" w:afterAutospacing="0" w:line="276" w:lineRule="auto"/>
        <w:rPr>
          <w:rFonts w:ascii="Arial" w:hAnsi="Arial" w:cs="Arial"/>
          <w:sz w:val="22"/>
          <w:szCs w:val="22"/>
        </w:rPr>
      </w:pPr>
      <w:r>
        <w:rPr>
          <w:rFonts w:ascii="Arial" w:hAnsi="Arial" w:cs="Arial"/>
          <w:sz w:val="22"/>
          <w:szCs w:val="22"/>
        </w:rPr>
        <w:t>_____________________________________________________________________</w:t>
      </w:r>
    </w:p>
    <w:p w14:paraId="55783429" w14:textId="77777777" w:rsidR="00C55B6A" w:rsidRPr="009B0F1D" w:rsidRDefault="00C55B6A" w:rsidP="00EC3C5F">
      <w:pPr>
        <w:pStyle w:val="NormalWeb"/>
        <w:spacing w:before="0" w:beforeAutospacing="0" w:after="120" w:afterAutospacing="0" w:line="276" w:lineRule="auto"/>
        <w:rPr>
          <w:rFonts w:ascii="Arial" w:hAnsi="Arial" w:cs="Arial"/>
          <w:sz w:val="22"/>
          <w:szCs w:val="22"/>
        </w:rPr>
      </w:pPr>
    </w:p>
    <w:p w14:paraId="1D2A4B82" w14:textId="77777777" w:rsidR="006373D5" w:rsidRPr="009B0F1D" w:rsidRDefault="006373D5" w:rsidP="00EC3C5F">
      <w:pPr>
        <w:spacing w:after="120" w:line="276" w:lineRule="auto"/>
        <w:rPr>
          <w:rFonts w:ascii="Arial" w:hAnsi="Arial" w:cs="Arial"/>
        </w:rPr>
      </w:pPr>
      <w:r w:rsidRPr="009B0F1D">
        <w:rPr>
          <w:rFonts w:ascii="Arial" w:hAnsi="Arial" w:cs="Arial"/>
          <w:b/>
          <w:bCs/>
        </w:rPr>
        <w:t>H. CONTROL DE CALIDAD</w:t>
      </w:r>
    </w:p>
    <w:p w14:paraId="7A9F8CDF" w14:textId="212C0EFC" w:rsidR="006373D5" w:rsidRPr="009B0F1D" w:rsidRDefault="006373D5" w:rsidP="00C55B6A">
      <w:pPr>
        <w:spacing w:after="120" w:line="276" w:lineRule="auto"/>
        <w:jc w:val="both"/>
        <w:rPr>
          <w:rFonts w:ascii="Arial" w:hAnsi="Arial" w:cs="Arial"/>
        </w:rPr>
      </w:pPr>
      <w:r w:rsidRPr="009B0F1D">
        <w:rPr>
          <w:rFonts w:ascii="Arial" w:hAnsi="Arial" w:cs="Arial"/>
        </w:rPr>
        <w:t xml:space="preserve">Una vez completado el informe narrativo, se espera que los </w:t>
      </w:r>
      <w:r w:rsidR="003C7E29">
        <w:rPr>
          <w:rFonts w:ascii="Arial" w:hAnsi="Arial" w:cs="Arial"/>
        </w:rPr>
        <w:t>MR</w:t>
      </w:r>
      <w:r w:rsidRPr="009B0F1D">
        <w:rPr>
          <w:rFonts w:ascii="Arial" w:hAnsi="Arial" w:cs="Arial"/>
        </w:rPr>
        <w:t xml:space="preserve"> envíen el primer borrador a sus </w:t>
      </w:r>
      <w:r w:rsidR="003C7E29">
        <w:rPr>
          <w:rFonts w:ascii="Arial" w:hAnsi="Arial" w:cs="Arial"/>
        </w:rPr>
        <w:t>FR</w:t>
      </w:r>
      <w:r w:rsidR="0087349E" w:rsidRPr="009B0F1D">
        <w:rPr>
          <w:rFonts w:ascii="Arial" w:hAnsi="Arial" w:cs="Arial"/>
        </w:rPr>
        <w:t>,</w:t>
      </w:r>
      <w:r w:rsidRPr="009B0F1D">
        <w:rPr>
          <w:rFonts w:ascii="Arial" w:hAnsi="Arial" w:cs="Arial"/>
        </w:rPr>
        <w:t xml:space="preserve"> para una revisión inicial. Durante esta etapa, se podrá solicitar información adicional, fuentes o ediciones, y se proporcionarán comentarios. Los </w:t>
      </w:r>
      <w:r w:rsidR="003C7E29">
        <w:rPr>
          <w:rFonts w:ascii="Arial" w:hAnsi="Arial" w:cs="Arial"/>
        </w:rPr>
        <w:t>MR</w:t>
      </w:r>
      <w:r w:rsidRPr="009B0F1D">
        <w:rPr>
          <w:rFonts w:ascii="Arial" w:hAnsi="Arial" w:cs="Arial"/>
        </w:rPr>
        <w:t xml:space="preserve"> deberán incorporar las observaciones del consorcio y enviar un segundo borrador revisado.</w:t>
      </w:r>
    </w:p>
    <w:p w14:paraId="55EC2E43" w14:textId="2DA759CF" w:rsidR="006373D5" w:rsidRDefault="006373D5" w:rsidP="00C55B6A">
      <w:pPr>
        <w:spacing w:after="120" w:line="276" w:lineRule="auto"/>
        <w:jc w:val="both"/>
        <w:rPr>
          <w:rFonts w:ascii="Arial" w:hAnsi="Arial" w:cs="Arial"/>
        </w:rPr>
      </w:pPr>
      <w:r w:rsidRPr="009B0F1D">
        <w:rPr>
          <w:rFonts w:ascii="Arial" w:hAnsi="Arial" w:cs="Arial"/>
        </w:rPr>
        <w:t xml:space="preserve">Se realizará una segunda ronda de revisión por parte de otro investigador dentro del consorcio que no haya participado en la revisión inicial, garantizando así el control de calidad final. Los </w:t>
      </w:r>
      <w:r w:rsidR="003C7E29">
        <w:rPr>
          <w:rFonts w:ascii="Arial" w:hAnsi="Arial" w:cs="Arial"/>
        </w:rPr>
        <w:t>MR</w:t>
      </w:r>
      <w:r w:rsidRPr="009B0F1D">
        <w:rPr>
          <w:rFonts w:ascii="Arial" w:hAnsi="Arial" w:cs="Arial"/>
        </w:rPr>
        <w:t xml:space="preserve"> deben responder a los comentarios de manera oportuna para mantener el calendario del ciclo de investigación y asegurar la publicación a tiempo.</w:t>
      </w:r>
    </w:p>
    <w:p w14:paraId="5601C1B4" w14:textId="77777777" w:rsidR="00C55B6A" w:rsidRPr="009B0F1D" w:rsidRDefault="00C55B6A" w:rsidP="00C55B6A">
      <w:pPr>
        <w:spacing w:after="120" w:line="276" w:lineRule="auto"/>
        <w:jc w:val="both"/>
        <w:rPr>
          <w:rFonts w:ascii="Arial" w:hAnsi="Arial" w:cs="Arial"/>
        </w:rPr>
      </w:pPr>
    </w:p>
    <w:p w14:paraId="00631436" w14:textId="0EEAB00E" w:rsidR="006373D5" w:rsidRPr="009B0F1D" w:rsidRDefault="006373D5" w:rsidP="00EC3C5F">
      <w:pPr>
        <w:spacing w:after="120" w:line="276" w:lineRule="auto"/>
        <w:rPr>
          <w:rFonts w:ascii="Arial" w:hAnsi="Arial" w:cs="Arial"/>
        </w:rPr>
      </w:pPr>
      <w:r w:rsidRPr="009B0F1D">
        <w:rPr>
          <w:rFonts w:ascii="Arial" w:hAnsi="Arial" w:cs="Arial"/>
          <w:b/>
          <w:bCs/>
        </w:rPr>
        <w:t xml:space="preserve">I. </w:t>
      </w:r>
      <w:r w:rsidR="00312780">
        <w:rPr>
          <w:rFonts w:ascii="Arial" w:hAnsi="Arial" w:cs="Arial"/>
          <w:b/>
          <w:bCs/>
        </w:rPr>
        <w:t>EDICIÓN</w:t>
      </w:r>
      <w:r w:rsidRPr="009B0F1D">
        <w:rPr>
          <w:rFonts w:ascii="Arial" w:hAnsi="Arial" w:cs="Arial"/>
          <w:b/>
          <w:bCs/>
        </w:rPr>
        <w:t xml:space="preserve"> Y TRADUCCIÓN</w:t>
      </w:r>
    </w:p>
    <w:p w14:paraId="740B17EE" w14:textId="77777777" w:rsidR="006373D5" w:rsidRDefault="006373D5" w:rsidP="00784B19">
      <w:pPr>
        <w:spacing w:after="120" w:line="276" w:lineRule="auto"/>
        <w:jc w:val="both"/>
        <w:rPr>
          <w:rFonts w:ascii="Arial" w:hAnsi="Arial" w:cs="Arial"/>
        </w:rPr>
      </w:pPr>
      <w:r w:rsidRPr="009B0F1D">
        <w:rPr>
          <w:rFonts w:ascii="Arial" w:hAnsi="Arial" w:cs="Arial"/>
        </w:rPr>
        <w:t>Una vez revisado el segundo borrador e incorporados todos los comentarios, la versión final será enviada para su edición y traducción si es necesario.</w:t>
      </w:r>
    </w:p>
    <w:p w14:paraId="3401D601" w14:textId="77777777" w:rsidR="00C55B6A" w:rsidRPr="009B0F1D" w:rsidRDefault="00C55B6A" w:rsidP="00EC3C5F">
      <w:pPr>
        <w:spacing w:after="120" w:line="276" w:lineRule="auto"/>
        <w:rPr>
          <w:rFonts w:ascii="Arial" w:hAnsi="Arial" w:cs="Arial"/>
        </w:rPr>
      </w:pPr>
    </w:p>
    <w:p w14:paraId="2C04FC34" w14:textId="18C9626F" w:rsidR="006373D5" w:rsidRPr="009B0F1D" w:rsidRDefault="006373D5" w:rsidP="00EC3C5F">
      <w:pPr>
        <w:pStyle w:val="Heading2"/>
        <w:spacing w:before="0" w:after="120" w:line="276" w:lineRule="auto"/>
      </w:pPr>
      <w:bookmarkStart w:id="4" w:name="_Toc193301983"/>
      <w:r w:rsidRPr="009B0F1D">
        <w:t>DISEÑO Y PUBLICACIÓN</w:t>
      </w:r>
      <w:bookmarkEnd w:id="4"/>
    </w:p>
    <w:p w14:paraId="564C262A" w14:textId="2080DCA8" w:rsidR="006373D5" w:rsidRPr="009B0F1D" w:rsidRDefault="006373D5" w:rsidP="00EC3C5F">
      <w:pPr>
        <w:spacing w:after="120" w:line="276" w:lineRule="auto"/>
        <w:rPr>
          <w:rFonts w:ascii="Arial" w:hAnsi="Arial" w:cs="Arial"/>
        </w:rPr>
      </w:pPr>
      <w:r w:rsidRPr="009B0F1D">
        <w:rPr>
          <w:rFonts w:ascii="Arial" w:hAnsi="Arial" w:cs="Arial"/>
          <w:b/>
          <w:bCs/>
        </w:rPr>
        <w:t>J. DISEÑO</w:t>
      </w:r>
      <w:r w:rsidRPr="009B0F1D">
        <w:rPr>
          <w:rFonts w:ascii="Arial" w:hAnsi="Arial" w:cs="Arial"/>
        </w:rPr>
        <w:br/>
        <w:t>El consorcio será responsable del diseño del informe.</w:t>
      </w:r>
    </w:p>
    <w:p w14:paraId="1D5D8C1E" w14:textId="2582DC06" w:rsidR="006373D5" w:rsidRPr="009B0F1D" w:rsidRDefault="006373D5" w:rsidP="00EC3C5F">
      <w:pPr>
        <w:spacing w:after="120" w:line="276" w:lineRule="auto"/>
        <w:rPr>
          <w:rFonts w:ascii="Arial" w:hAnsi="Arial" w:cs="Arial"/>
        </w:rPr>
      </w:pPr>
      <w:r w:rsidRPr="009B0F1D">
        <w:rPr>
          <w:rFonts w:ascii="Arial" w:hAnsi="Arial" w:cs="Arial"/>
          <w:b/>
          <w:bCs/>
        </w:rPr>
        <w:t>K. APROBACIÓN FINAL</w:t>
      </w:r>
      <w:r w:rsidRPr="009B0F1D">
        <w:rPr>
          <w:rFonts w:ascii="Arial" w:hAnsi="Arial" w:cs="Arial"/>
        </w:rPr>
        <w:br/>
        <w:t xml:space="preserve">El Gerente del Programa Global y el Oficial de Comunicaciones de </w:t>
      </w:r>
      <w:proofErr w:type="spellStart"/>
      <w:r w:rsidRPr="009B0F1D">
        <w:rPr>
          <w:rFonts w:ascii="Arial" w:hAnsi="Arial" w:cs="Arial"/>
        </w:rPr>
        <w:t>Hivos</w:t>
      </w:r>
      <w:proofErr w:type="spellEnd"/>
      <w:r w:rsidRPr="009B0F1D">
        <w:rPr>
          <w:rFonts w:ascii="Arial" w:hAnsi="Arial" w:cs="Arial"/>
        </w:rPr>
        <w:t xml:space="preserve"> aprobarán el informe antes de su publicación.</w:t>
      </w:r>
    </w:p>
    <w:p w14:paraId="126CB557" w14:textId="070319AC" w:rsidR="006373D5" w:rsidRPr="009B0F1D" w:rsidRDefault="006373D5" w:rsidP="00EC3C5F">
      <w:pPr>
        <w:spacing w:after="120" w:line="276" w:lineRule="auto"/>
        <w:rPr>
          <w:rFonts w:ascii="Arial" w:hAnsi="Arial" w:cs="Arial"/>
        </w:rPr>
      </w:pPr>
      <w:r w:rsidRPr="009B0F1D">
        <w:rPr>
          <w:rFonts w:ascii="Arial" w:hAnsi="Arial" w:cs="Arial"/>
          <w:b/>
          <w:bCs/>
        </w:rPr>
        <w:t>L. PUBLICACIÓN DEL INFORME</w:t>
      </w:r>
      <w:r w:rsidRPr="009B0F1D">
        <w:rPr>
          <w:rFonts w:ascii="Arial" w:hAnsi="Arial" w:cs="Arial"/>
        </w:rPr>
        <w:br/>
        <w:t>El informe se publicará en el sitio web de la EU SEE.</w:t>
      </w:r>
    </w:p>
    <w:p w14:paraId="6F758C51" w14:textId="1CFC9A94" w:rsidR="006373D5" w:rsidRPr="009B0F1D" w:rsidRDefault="006373D5" w:rsidP="00EC3C5F">
      <w:pPr>
        <w:spacing w:after="120" w:line="276" w:lineRule="auto"/>
        <w:rPr>
          <w:rFonts w:ascii="Arial" w:hAnsi="Arial" w:cs="Arial"/>
        </w:rPr>
      </w:pPr>
    </w:p>
    <w:p w14:paraId="5FAF55B3" w14:textId="77777777" w:rsidR="006373D5" w:rsidRPr="009B0F1D" w:rsidRDefault="006373D5" w:rsidP="00EC3C5F">
      <w:pPr>
        <w:spacing w:after="120" w:line="276" w:lineRule="auto"/>
        <w:rPr>
          <w:rFonts w:ascii="Aptos" w:eastAsiaTheme="majorEastAsia" w:hAnsi="Aptos" w:cstheme="majorBidi"/>
          <w:b/>
          <w:color w:val="2F5496" w:themeColor="accent1" w:themeShade="BF"/>
          <w:sz w:val="32"/>
          <w:szCs w:val="32"/>
        </w:rPr>
      </w:pPr>
      <w:r w:rsidRPr="009B0F1D">
        <w:br w:type="page"/>
      </w:r>
    </w:p>
    <w:p w14:paraId="0B94E4BB" w14:textId="5C036F91" w:rsidR="006373D5" w:rsidRPr="009B0F1D" w:rsidRDefault="003C7E29" w:rsidP="00EC3C5F">
      <w:pPr>
        <w:pStyle w:val="Heading2"/>
        <w:spacing w:before="0" w:after="120" w:line="276" w:lineRule="auto"/>
      </w:pPr>
      <w:bookmarkStart w:id="5" w:name="_Toc193301984"/>
      <w:r>
        <w:lastRenderedPageBreak/>
        <w:t>ANEXO</w:t>
      </w:r>
      <w:bookmarkEnd w:id="5"/>
    </w:p>
    <w:p w14:paraId="6A17A396" w14:textId="77777777" w:rsidR="006373D5" w:rsidRPr="009B0F1D" w:rsidRDefault="006373D5" w:rsidP="00EC3C5F">
      <w:pPr>
        <w:pStyle w:val="Heading3"/>
        <w:spacing w:before="0" w:after="120" w:line="276" w:lineRule="auto"/>
      </w:pPr>
      <w:bookmarkStart w:id="6" w:name="_Definiciones_de_los"/>
      <w:bookmarkStart w:id="7" w:name="_Toc193301985"/>
      <w:bookmarkEnd w:id="6"/>
      <w:r w:rsidRPr="009B0F1D">
        <w:t>Definiciones de los Principios y Dimensiones.</w:t>
      </w:r>
      <w:bookmarkEnd w:id="7"/>
    </w:p>
    <w:tbl>
      <w:tblPr>
        <w:tblStyle w:val="TableGrid"/>
        <w:tblW w:w="0" w:type="auto"/>
        <w:tblLook w:val="04A0" w:firstRow="1" w:lastRow="0" w:firstColumn="1" w:lastColumn="0" w:noHBand="0" w:noVBand="1"/>
      </w:tblPr>
      <w:tblGrid>
        <w:gridCol w:w="4247"/>
        <w:gridCol w:w="4247"/>
      </w:tblGrid>
      <w:tr w:rsidR="00006A76" w:rsidRPr="009B0F1D" w14:paraId="5C2A944F" w14:textId="77777777" w:rsidTr="00EC3C5F">
        <w:tc>
          <w:tcPr>
            <w:tcW w:w="4247" w:type="dxa"/>
            <w:vMerge w:val="restart"/>
            <w:vAlign w:val="center"/>
          </w:tcPr>
          <w:p w14:paraId="6294602E" w14:textId="77777777" w:rsidR="00006A76" w:rsidRPr="00AF28B3" w:rsidRDefault="00006A76" w:rsidP="00EC3C5F">
            <w:pPr>
              <w:spacing w:after="120" w:line="276" w:lineRule="auto"/>
              <w:rPr>
                <w:rFonts w:ascii="Arial" w:hAnsi="Arial" w:cs="Arial"/>
                <w:b/>
                <w:bCs/>
                <w:color w:val="1F3864" w:themeColor="accent1" w:themeShade="80"/>
                <w:sz w:val="20"/>
                <w:szCs w:val="20"/>
                <w:lang w:val="es-ES"/>
              </w:rPr>
            </w:pPr>
            <w:r w:rsidRPr="00AF28B3">
              <w:rPr>
                <w:rFonts w:ascii="Arial" w:hAnsi="Arial" w:cs="Arial"/>
                <w:b/>
                <w:bCs/>
                <w:color w:val="1F3864" w:themeColor="accent1" w:themeShade="80"/>
                <w:sz w:val="20"/>
                <w:szCs w:val="20"/>
                <w:lang w:val="es-ES"/>
              </w:rPr>
              <w:t>Principio 1</w:t>
            </w:r>
          </w:p>
          <w:p w14:paraId="653A4E60" w14:textId="77777777" w:rsidR="00006A76" w:rsidRPr="00006A76" w:rsidRDefault="00006A76" w:rsidP="00EC3C5F">
            <w:pPr>
              <w:spacing w:after="120" w:line="276" w:lineRule="auto"/>
              <w:rPr>
                <w:rFonts w:ascii="Arial" w:hAnsi="Arial" w:cs="Arial"/>
                <w:sz w:val="20"/>
                <w:szCs w:val="20"/>
                <w:lang w:val="es-ES"/>
              </w:rPr>
            </w:pPr>
            <w:r w:rsidRPr="00006A76">
              <w:rPr>
                <w:rFonts w:ascii="Arial" w:hAnsi="Arial" w:cs="Arial"/>
                <w:b/>
                <w:bCs/>
                <w:sz w:val="20"/>
                <w:szCs w:val="20"/>
                <w:lang w:val="es-ES"/>
              </w:rPr>
              <w:t>Respeto y Protección de las Libertades Cívicas Fundamentales</w:t>
            </w:r>
          </w:p>
          <w:p w14:paraId="08DD975D" w14:textId="4ED388B6" w:rsidR="00006A76" w:rsidRPr="00006A76" w:rsidRDefault="00006A76" w:rsidP="00EC3C5F">
            <w:pPr>
              <w:spacing w:after="120" w:line="276" w:lineRule="auto"/>
              <w:rPr>
                <w:rFonts w:ascii="Arial" w:hAnsi="Arial" w:cs="Arial"/>
                <w:sz w:val="20"/>
                <w:szCs w:val="20"/>
                <w:lang w:val="es-ES"/>
              </w:rPr>
            </w:pPr>
            <w:r w:rsidRPr="00006A76">
              <w:rPr>
                <w:rFonts w:ascii="Arial" w:hAnsi="Arial" w:cs="Arial"/>
                <w:sz w:val="20"/>
                <w:szCs w:val="20"/>
                <w:lang w:val="es-ES"/>
              </w:rPr>
              <w:t xml:space="preserve">Un </w:t>
            </w:r>
            <w:r w:rsidRPr="00AF28B3">
              <w:rPr>
                <w:rFonts w:ascii="Arial" w:hAnsi="Arial" w:cs="Arial"/>
                <w:sz w:val="20"/>
                <w:szCs w:val="20"/>
                <w:lang w:val="es-ES"/>
              </w:rPr>
              <w:t>ambiente habilitante</w:t>
            </w:r>
            <w:r w:rsidRPr="00006A76">
              <w:rPr>
                <w:rFonts w:ascii="Arial" w:hAnsi="Arial" w:cs="Arial"/>
                <w:sz w:val="20"/>
                <w:szCs w:val="20"/>
                <w:lang w:val="es-ES"/>
              </w:rPr>
              <w:t xml:space="preserve"> para la sociedad civil requiere condiciones básicas que faciliten su funcionamiento.</w:t>
            </w:r>
          </w:p>
          <w:p w14:paraId="38048023" w14:textId="77777777" w:rsidR="00006A76" w:rsidRPr="00006A76" w:rsidRDefault="00006A76" w:rsidP="00EC3C5F">
            <w:pPr>
              <w:spacing w:after="120" w:line="276" w:lineRule="auto"/>
              <w:rPr>
                <w:rFonts w:ascii="Arial" w:hAnsi="Arial" w:cs="Arial"/>
                <w:sz w:val="20"/>
                <w:szCs w:val="20"/>
                <w:lang w:val="es-ES"/>
              </w:rPr>
            </w:pPr>
            <w:r w:rsidRPr="00006A76">
              <w:rPr>
                <w:rFonts w:ascii="Arial" w:hAnsi="Arial" w:cs="Arial"/>
                <w:sz w:val="20"/>
                <w:szCs w:val="20"/>
                <w:lang w:val="es-ES"/>
              </w:rPr>
              <w:t>La libertad de asociación, de reunión pacífica y de expresión deben ser respetadas y protegidas para todas las personas, estableciendo así las bases para el desarrollo y fortalecimiento de la sociedad civil.</w:t>
            </w:r>
          </w:p>
          <w:p w14:paraId="038255E5" w14:textId="067D6239"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721D05B6" w14:textId="77777777" w:rsidR="00006A76" w:rsidRPr="00006A76" w:rsidRDefault="00006A76" w:rsidP="00EC3C5F">
            <w:pPr>
              <w:spacing w:after="120" w:line="276" w:lineRule="auto"/>
              <w:rPr>
                <w:rFonts w:ascii="Arial" w:hAnsi="Arial" w:cs="Arial"/>
                <w:sz w:val="20"/>
                <w:szCs w:val="20"/>
                <w:lang w:val="es-ES"/>
              </w:rPr>
            </w:pPr>
            <w:r w:rsidRPr="00006A76">
              <w:rPr>
                <w:rFonts w:ascii="Arial" w:hAnsi="Arial" w:cs="Arial"/>
                <w:b/>
                <w:bCs/>
                <w:color w:val="1F3864" w:themeColor="accent1" w:themeShade="80"/>
                <w:sz w:val="20"/>
                <w:szCs w:val="20"/>
                <w:lang w:val="es-ES"/>
              </w:rPr>
              <w:t>Dimensión 1.1</w:t>
            </w:r>
            <w:r w:rsidRPr="00006A76">
              <w:rPr>
                <w:rFonts w:ascii="Arial" w:hAnsi="Arial" w:cs="Arial"/>
                <w:sz w:val="20"/>
                <w:szCs w:val="20"/>
                <w:lang w:val="es-ES"/>
              </w:rPr>
              <w:br/>
            </w:r>
            <w:r w:rsidRPr="00006A76">
              <w:rPr>
                <w:rFonts w:ascii="Arial" w:hAnsi="Arial" w:cs="Arial"/>
                <w:b/>
                <w:bCs/>
                <w:sz w:val="20"/>
                <w:szCs w:val="20"/>
                <w:lang w:val="es-ES"/>
              </w:rPr>
              <w:t>Libertad de Asociación</w:t>
            </w:r>
            <w:r w:rsidRPr="00006A76">
              <w:rPr>
                <w:rFonts w:ascii="Arial" w:hAnsi="Arial" w:cs="Arial"/>
                <w:sz w:val="20"/>
                <w:szCs w:val="20"/>
                <w:lang w:val="es-ES"/>
              </w:rPr>
              <w:br/>
              <w:t>El derecho de las personas a formar o unirse a grupos formales o informales para llevar a cabo acciones colectivas sin la obligación de registrarse.</w:t>
            </w:r>
          </w:p>
          <w:p w14:paraId="3A25EE0F" w14:textId="77777777" w:rsidR="00006A76" w:rsidRPr="00AF28B3" w:rsidRDefault="00006A76" w:rsidP="00EC3C5F">
            <w:pPr>
              <w:spacing w:after="120" w:line="276" w:lineRule="auto"/>
              <w:rPr>
                <w:rFonts w:ascii="Arial" w:hAnsi="Arial" w:cs="Arial"/>
                <w:sz w:val="20"/>
                <w:szCs w:val="20"/>
                <w:lang w:val="es-ES"/>
              </w:rPr>
            </w:pPr>
          </w:p>
        </w:tc>
      </w:tr>
      <w:tr w:rsidR="00006A76" w:rsidRPr="009B0F1D" w14:paraId="51EAD5A1" w14:textId="77777777" w:rsidTr="00EC3C5F">
        <w:tc>
          <w:tcPr>
            <w:tcW w:w="4247" w:type="dxa"/>
            <w:vMerge/>
            <w:vAlign w:val="center"/>
          </w:tcPr>
          <w:p w14:paraId="688872E3"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33BDD4C8" w14:textId="77777777" w:rsidR="00006A76" w:rsidRPr="00006A76" w:rsidRDefault="00006A76" w:rsidP="00EC3C5F">
            <w:pPr>
              <w:spacing w:after="120" w:line="276" w:lineRule="auto"/>
              <w:rPr>
                <w:rFonts w:ascii="Arial" w:hAnsi="Arial" w:cs="Arial"/>
                <w:sz w:val="20"/>
                <w:szCs w:val="20"/>
                <w:lang w:val="es-ES"/>
              </w:rPr>
            </w:pPr>
            <w:r w:rsidRPr="00006A76">
              <w:rPr>
                <w:rFonts w:ascii="Arial" w:hAnsi="Arial" w:cs="Arial"/>
                <w:b/>
                <w:bCs/>
                <w:color w:val="1F3864" w:themeColor="accent1" w:themeShade="80"/>
                <w:sz w:val="20"/>
                <w:szCs w:val="20"/>
                <w:lang w:val="es-ES"/>
              </w:rPr>
              <w:t>Dimensión 1.2</w:t>
            </w:r>
            <w:r w:rsidRPr="00006A76">
              <w:rPr>
                <w:rFonts w:ascii="Arial" w:hAnsi="Arial" w:cs="Arial"/>
                <w:color w:val="1F3864" w:themeColor="accent1" w:themeShade="80"/>
                <w:sz w:val="20"/>
                <w:szCs w:val="20"/>
                <w:lang w:val="es-ES"/>
              </w:rPr>
              <w:br/>
            </w:r>
            <w:r w:rsidRPr="00006A76">
              <w:rPr>
                <w:rFonts w:ascii="Arial" w:hAnsi="Arial" w:cs="Arial"/>
                <w:b/>
                <w:bCs/>
                <w:sz w:val="20"/>
                <w:szCs w:val="20"/>
                <w:lang w:val="es-ES"/>
              </w:rPr>
              <w:t>Libertad de Reunión Pacífica</w:t>
            </w:r>
            <w:r w:rsidRPr="00006A76">
              <w:rPr>
                <w:rFonts w:ascii="Arial" w:hAnsi="Arial" w:cs="Arial"/>
                <w:sz w:val="20"/>
                <w:szCs w:val="20"/>
                <w:lang w:val="es-ES"/>
              </w:rPr>
              <w:br/>
              <w:t>El derecho a reunirse para protestas, manifestaciones u otras acciones colectivas con el fin de expresar, promover y defender intereses compartidos.</w:t>
            </w:r>
          </w:p>
          <w:p w14:paraId="55AC66A6" w14:textId="77777777" w:rsidR="00006A76" w:rsidRPr="00AF28B3" w:rsidRDefault="00006A76" w:rsidP="00EC3C5F">
            <w:pPr>
              <w:spacing w:after="120" w:line="276" w:lineRule="auto"/>
              <w:rPr>
                <w:rFonts w:ascii="Arial" w:hAnsi="Arial" w:cs="Arial"/>
                <w:sz w:val="20"/>
                <w:szCs w:val="20"/>
                <w:lang w:val="es-ES"/>
              </w:rPr>
            </w:pPr>
          </w:p>
        </w:tc>
      </w:tr>
      <w:tr w:rsidR="00006A76" w:rsidRPr="009B0F1D" w14:paraId="604770D2" w14:textId="77777777" w:rsidTr="00EC3C5F">
        <w:tc>
          <w:tcPr>
            <w:tcW w:w="4247" w:type="dxa"/>
            <w:vMerge/>
            <w:vAlign w:val="center"/>
          </w:tcPr>
          <w:p w14:paraId="39126DD6"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4410D2D6" w14:textId="77777777" w:rsidR="00006A76" w:rsidRPr="00006A76" w:rsidRDefault="00006A76" w:rsidP="00EC3C5F">
            <w:pPr>
              <w:spacing w:after="120" w:line="276" w:lineRule="auto"/>
              <w:rPr>
                <w:rFonts w:ascii="Arial" w:hAnsi="Arial" w:cs="Arial"/>
                <w:sz w:val="20"/>
                <w:szCs w:val="20"/>
                <w:lang w:val="es-ES"/>
              </w:rPr>
            </w:pPr>
            <w:r w:rsidRPr="00006A76">
              <w:rPr>
                <w:rFonts w:ascii="Arial" w:hAnsi="Arial" w:cs="Arial"/>
                <w:b/>
                <w:bCs/>
                <w:color w:val="1F3864" w:themeColor="accent1" w:themeShade="80"/>
                <w:sz w:val="20"/>
                <w:szCs w:val="20"/>
                <w:lang w:val="es-ES"/>
              </w:rPr>
              <w:t>Dimensión 1.3</w:t>
            </w:r>
            <w:r w:rsidRPr="00006A76">
              <w:rPr>
                <w:rFonts w:ascii="Arial" w:hAnsi="Arial" w:cs="Arial"/>
                <w:sz w:val="20"/>
                <w:szCs w:val="20"/>
                <w:lang w:val="es-ES"/>
              </w:rPr>
              <w:br/>
            </w:r>
            <w:r w:rsidRPr="00006A76">
              <w:rPr>
                <w:rFonts w:ascii="Arial" w:hAnsi="Arial" w:cs="Arial"/>
                <w:b/>
                <w:bCs/>
                <w:sz w:val="20"/>
                <w:szCs w:val="20"/>
                <w:lang w:val="es-ES"/>
              </w:rPr>
              <w:t>Libertad de Expresión</w:t>
            </w:r>
            <w:r w:rsidRPr="00006A76">
              <w:rPr>
                <w:rFonts w:ascii="Arial" w:hAnsi="Arial" w:cs="Arial"/>
                <w:sz w:val="20"/>
                <w:szCs w:val="20"/>
                <w:lang w:val="es-ES"/>
              </w:rPr>
              <w:br/>
              <w:t>El derecho a criticar políticas, abogar e investigar sin temor a represalias, incluyendo la libertad de prensa, que permite a periodistas y medios de comunicación operar de manera independiente, sin censura ni interferencias.</w:t>
            </w:r>
          </w:p>
          <w:p w14:paraId="130C773F" w14:textId="77777777" w:rsidR="00006A76" w:rsidRPr="00AF28B3" w:rsidRDefault="00006A76" w:rsidP="00EC3C5F">
            <w:pPr>
              <w:spacing w:after="120" w:line="276" w:lineRule="auto"/>
              <w:rPr>
                <w:rFonts w:ascii="Arial" w:hAnsi="Arial" w:cs="Arial"/>
                <w:sz w:val="20"/>
                <w:szCs w:val="20"/>
                <w:lang w:val="es-ES"/>
              </w:rPr>
            </w:pPr>
          </w:p>
        </w:tc>
      </w:tr>
      <w:tr w:rsidR="00006A76" w:rsidRPr="009B0F1D" w14:paraId="702EBFA9" w14:textId="77777777" w:rsidTr="00EC3C5F">
        <w:tc>
          <w:tcPr>
            <w:tcW w:w="4247" w:type="dxa"/>
            <w:vMerge w:val="restart"/>
            <w:vAlign w:val="center"/>
          </w:tcPr>
          <w:p w14:paraId="6ED42090" w14:textId="017DDEB7" w:rsidR="00006A76" w:rsidRPr="00006A76" w:rsidRDefault="00006A76" w:rsidP="00EC3C5F">
            <w:pPr>
              <w:spacing w:after="120" w:line="276" w:lineRule="auto"/>
              <w:rPr>
                <w:rFonts w:ascii="Arial" w:hAnsi="Arial" w:cs="Arial"/>
                <w:sz w:val="20"/>
                <w:szCs w:val="20"/>
                <w:lang w:val="es-ES"/>
              </w:rPr>
            </w:pPr>
            <w:r w:rsidRPr="00E43D09">
              <w:rPr>
                <w:rFonts w:ascii="Arial" w:hAnsi="Arial" w:cs="Arial"/>
                <w:b/>
                <w:bCs/>
                <w:color w:val="1F3864" w:themeColor="accent1" w:themeShade="80"/>
                <w:sz w:val="20"/>
                <w:szCs w:val="20"/>
                <w:lang w:val="es-ES"/>
              </w:rPr>
              <w:t>Principio 2</w:t>
            </w:r>
            <w:r w:rsidRPr="00006A76">
              <w:rPr>
                <w:rFonts w:ascii="Arial" w:hAnsi="Arial" w:cs="Arial"/>
                <w:sz w:val="20"/>
                <w:szCs w:val="20"/>
                <w:lang w:val="es-ES"/>
              </w:rPr>
              <w:br/>
            </w:r>
            <w:r w:rsidRPr="00006A76">
              <w:rPr>
                <w:rFonts w:ascii="Arial" w:hAnsi="Arial" w:cs="Arial"/>
                <w:b/>
                <w:bCs/>
                <w:sz w:val="20"/>
                <w:szCs w:val="20"/>
                <w:lang w:val="es-ES"/>
              </w:rPr>
              <w:t xml:space="preserve">Marco Legal y </w:t>
            </w:r>
            <w:r w:rsidRPr="00AF28B3">
              <w:rPr>
                <w:rFonts w:ascii="Arial" w:hAnsi="Arial" w:cs="Arial"/>
                <w:b/>
                <w:bCs/>
                <w:sz w:val="20"/>
                <w:szCs w:val="20"/>
                <w:lang w:val="es-ES"/>
              </w:rPr>
              <w:t>normativo</w:t>
            </w:r>
            <w:r w:rsidRPr="00006A76">
              <w:rPr>
                <w:rFonts w:ascii="Arial" w:hAnsi="Arial" w:cs="Arial"/>
                <w:b/>
                <w:bCs/>
                <w:sz w:val="20"/>
                <w:szCs w:val="20"/>
                <w:lang w:val="es-ES"/>
              </w:rPr>
              <w:t xml:space="preserve"> </w:t>
            </w:r>
            <w:r w:rsidRPr="00AF28B3">
              <w:rPr>
                <w:rFonts w:ascii="Arial" w:hAnsi="Arial" w:cs="Arial"/>
                <w:b/>
                <w:bCs/>
                <w:sz w:val="20"/>
                <w:szCs w:val="20"/>
                <w:lang w:val="es-ES"/>
              </w:rPr>
              <w:t>que favorece la a</w:t>
            </w:r>
            <w:r w:rsidRPr="00006A76">
              <w:rPr>
                <w:rFonts w:ascii="Arial" w:hAnsi="Arial" w:cs="Arial"/>
                <w:b/>
                <w:bCs/>
                <w:sz w:val="20"/>
                <w:szCs w:val="20"/>
                <w:lang w:val="es-ES"/>
              </w:rPr>
              <w:t>sociación</w:t>
            </w:r>
          </w:p>
          <w:p w14:paraId="5AF2168B" w14:textId="29880920" w:rsidR="00006A76" w:rsidRPr="00006A76" w:rsidRDefault="00006A76" w:rsidP="00EC3C5F">
            <w:pPr>
              <w:spacing w:after="120" w:line="276" w:lineRule="auto"/>
              <w:rPr>
                <w:rFonts w:ascii="Arial" w:hAnsi="Arial" w:cs="Arial"/>
                <w:sz w:val="20"/>
                <w:szCs w:val="20"/>
                <w:lang w:val="es-ES"/>
              </w:rPr>
            </w:pPr>
            <w:r w:rsidRPr="00006A76">
              <w:rPr>
                <w:rFonts w:ascii="Arial" w:hAnsi="Arial" w:cs="Arial"/>
                <w:sz w:val="20"/>
                <w:szCs w:val="20"/>
                <w:lang w:val="es-ES"/>
              </w:rPr>
              <w:t>Este principio evalúa si el marco legal y regulatorio permite a los actores de la sociedad civil formar, registrar y operar sin restricciones legales o administrativas indebidas. Examina si las leyes establecen un marco claro, transparente y no discriminatorio para las OSC, protegiéndolas de intervenciones injustificadas y proporcionando una base legal para acceder a los recursos necesarios.</w:t>
            </w:r>
          </w:p>
          <w:p w14:paraId="2FC00653"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6A2B932F" w14:textId="77777777" w:rsidR="00006A76" w:rsidRPr="00006A76" w:rsidRDefault="00006A76" w:rsidP="00EC3C5F">
            <w:pPr>
              <w:spacing w:after="120" w:line="276" w:lineRule="auto"/>
              <w:rPr>
                <w:rFonts w:ascii="Arial" w:hAnsi="Arial" w:cs="Arial"/>
                <w:sz w:val="20"/>
                <w:szCs w:val="20"/>
                <w:lang w:val="es-ES"/>
              </w:rPr>
            </w:pPr>
            <w:r w:rsidRPr="00E43D09">
              <w:rPr>
                <w:rFonts w:ascii="Arial" w:hAnsi="Arial" w:cs="Arial"/>
                <w:b/>
                <w:bCs/>
                <w:color w:val="1F3864" w:themeColor="accent1" w:themeShade="80"/>
                <w:sz w:val="20"/>
                <w:szCs w:val="20"/>
                <w:lang w:val="es-ES"/>
              </w:rPr>
              <w:t>Dimensión 2.1</w:t>
            </w:r>
            <w:r w:rsidRPr="00006A76">
              <w:rPr>
                <w:rFonts w:ascii="Arial" w:hAnsi="Arial" w:cs="Arial"/>
                <w:sz w:val="20"/>
                <w:szCs w:val="20"/>
                <w:lang w:val="es-ES"/>
              </w:rPr>
              <w:br/>
            </w:r>
            <w:r w:rsidRPr="00006A76">
              <w:rPr>
                <w:rFonts w:ascii="Arial" w:hAnsi="Arial" w:cs="Arial"/>
                <w:b/>
                <w:bCs/>
                <w:sz w:val="20"/>
                <w:szCs w:val="20"/>
                <w:lang w:val="es-ES"/>
              </w:rPr>
              <w:t>Registro</w:t>
            </w:r>
            <w:r w:rsidRPr="00006A76">
              <w:rPr>
                <w:rFonts w:ascii="Arial" w:hAnsi="Arial" w:cs="Arial"/>
                <w:sz w:val="20"/>
                <w:szCs w:val="20"/>
                <w:lang w:val="es-ES"/>
              </w:rPr>
              <w:br/>
              <w:t>El grado en que el marco legal permite a las personas y grupos establecer y registrar OSC sin obstáculos innecesarios.</w:t>
            </w:r>
          </w:p>
          <w:p w14:paraId="74BF766A" w14:textId="77777777" w:rsidR="00006A76" w:rsidRPr="00AF28B3" w:rsidRDefault="00006A76" w:rsidP="00EC3C5F">
            <w:pPr>
              <w:spacing w:after="120" w:line="276" w:lineRule="auto"/>
              <w:rPr>
                <w:rFonts w:ascii="Arial" w:hAnsi="Arial" w:cs="Arial"/>
                <w:sz w:val="20"/>
                <w:szCs w:val="20"/>
                <w:lang w:val="es-ES"/>
              </w:rPr>
            </w:pPr>
          </w:p>
        </w:tc>
      </w:tr>
      <w:tr w:rsidR="00006A76" w:rsidRPr="009B0F1D" w14:paraId="2BC41614" w14:textId="77777777" w:rsidTr="00EC3C5F">
        <w:tc>
          <w:tcPr>
            <w:tcW w:w="4247" w:type="dxa"/>
            <w:vMerge/>
            <w:vAlign w:val="center"/>
          </w:tcPr>
          <w:p w14:paraId="4C7B99AD"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1B946F72" w14:textId="77777777" w:rsidR="00006A76" w:rsidRPr="00006A76" w:rsidRDefault="00006A76" w:rsidP="00EC3C5F">
            <w:pPr>
              <w:spacing w:after="120" w:line="276" w:lineRule="auto"/>
              <w:rPr>
                <w:rFonts w:ascii="Arial" w:hAnsi="Arial" w:cs="Arial"/>
                <w:sz w:val="20"/>
                <w:szCs w:val="20"/>
                <w:lang w:val="es-ES"/>
              </w:rPr>
            </w:pPr>
            <w:r w:rsidRPr="00E43D09">
              <w:rPr>
                <w:rFonts w:ascii="Arial" w:hAnsi="Arial" w:cs="Arial"/>
                <w:b/>
                <w:bCs/>
                <w:color w:val="1F3864" w:themeColor="accent1" w:themeShade="80"/>
                <w:sz w:val="20"/>
                <w:szCs w:val="20"/>
                <w:lang w:val="es-ES"/>
              </w:rPr>
              <w:t>Dimensión 2.2</w:t>
            </w:r>
            <w:r w:rsidRPr="00006A76">
              <w:rPr>
                <w:rFonts w:ascii="Arial" w:hAnsi="Arial" w:cs="Arial"/>
                <w:sz w:val="20"/>
                <w:szCs w:val="20"/>
                <w:lang w:val="es-ES"/>
              </w:rPr>
              <w:br/>
            </w:r>
            <w:r w:rsidRPr="00006A76">
              <w:rPr>
                <w:rFonts w:ascii="Arial" w:hAnsi="Arial" w:cs="Arial"/>
                <w:b/>
                <w:bCs/>
                <w:sz w:val="20"/>
                <w:szCs w:val="20"/>
                <w:lang w:val="es-ES"/>
              </w:rPr>
              <w:t>Entorno Operativo</w:t>
            </w:r>
            <w:r w:rsidRPr="00006A76">
              <w:rPr>
                <w:rFonts w:ascii="Arial" w:hAnsi="Arial" w:cs="Arial"/>
                <w:sz w:val="20"/>
                <w:szCs w:val="20"/>
                <w:lang w:val="es-ES"/>
              </w:rPr>
              <w:br/>
              <w:t>El grado en que el marco legal permite a las OSC definir su gobernanza, objetivos y actividades, así como acceder a financiación para su funcionamiento.</w:t>
            </w:r>
          </w:p>
          <w:p w14:paraId="3CC34F40" w14:textId="77777777" w:rsidR="00006A76" w:rsidRPr="00AF28B3" w:rsidRDefault="00006A76" w:rsidP="00EC3C5F">
            <w:pPr>
              <w:spacing w:after="120" w:line="276" w:lineRule="auto"/>
              <w:rPr>
                <w:rFonts w:ascii="Arial" w:hAnsi="Arial" w:cs="Arial"/>
                <w:sz w:val="20"/>
                <w:szCs w:val="20"/>
                <w:lang w:val="es-ES"/>
              </w:rPr>
            </w:pPr>
          </w:p>
        </w:tc>
      </w:tr>
      <w:tr w:rsidR="00006A76" w:rsidRPr="009B0F1D" w14:paraId="576A5222" w14:textId="77777777" w:rsidTr="00EC3C5F">
        <w:tc>
          <w:tcPr>
            <w:tcW w:w="4247" w:type="dxa"/>
            <w:vMerge/>
            <w:vAlign w:val="center"/>
          </w:tcPr>
          <w:p w14:paraId="1C8FD037"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7405B3C2" w14:textId="77777777" w:rsidR="00006A76" w:rsidRPr="00006A76" w:rsidRDefault="00006A76" w:rsidP="00EC3C5F">
            <w:pPr>
              <w:spacing w:after="120" w:line="276" w:lineRule="auto"/>
              <w:rPr>
                <w:rFonts w:ascii="Arial" w:hAnsi="Arial" w:cs="Arial"/>
                <w:sz w:val="20"/>
                <w:szCs w:val="20"/>
                <w:lang w:val="es-ES"/>
              </w:rPr>
            </w:pPr>
            <w:r w:rsidRPr="00E43D09">
              <w:rPr>
                <w:rFonts w:ascii="Arial" w:hAnsi="Arial" w:cs="Arial"/>
                <w:b/>
                <w:bCs/>
                <w:color w:val="1F3864" w:themeColor="accent1" w:themeShade="80"/>
                <w:sz w:val="20"/>
                <w:szCs w:val="20"/>
                <w:lang w:val="es-ES"/>
              </w:rPr>
              <w:t>Dimensión 2.3</w:t>
            </w:r>
            <w:r w:rsidRPr="00006A76">
              <w:rPr>
                <w:rFonts w:ascii="Arial" w:hAnsi="Arial" w:cs="Arial"/>
                <w:sz w:val="20"/>
                <w:szCs w:val="20"/>
                <w:lang w:val="es-ES"/>
              </w:rPr>
              <w:br/>
            </w:r>
            <w:r w:rsidRPr="00006A76">
              <w:rPr>
                <w:rFonts w:ascii="Arial" w:hAnsi="Arial" w:cs="Arial"/>
                <w:b/>
                <w:bCs/>
                <w:sz w:val="20"/>
                <w:szCs w:val="20"/>
                <w:lang w:val="es-ES"/>
              </w:rPr>
              <w:t>Protección contra Interferencias</w:t>
            </w:r>
            <w:r w:rsidRPr="00006A76">
              <w:rPr>
                <w:rFonts w:ascii="Arial" w:hAnsi="Arial" w:cs="Arial"/>
                <w:sz w:val="20"/>
                <w:szCs w:val="20"/>
                <w:lang w:val="es-ES"/>
              </w:rPr>
              <w:br/>
              <w:t>El grado en que el marco legal protege a las OSC de intervenciones indebidas por parte del Estado o de terceros.</w:t>
            </w:r>
          </w:p>
          <w:p w14:paraId="54338461" w14:textId="77777777" w:rsidR="00006A76" w:rsidRPr="00AF28B3" w:rsidRDefault="00006A76" w:rsidP="00EC3C5F">
            <w:pPr>
              <w:spacing w:after="120" w:line="276" w:lineRule="auto"/>
              <w:rPr>
                <w:rFonts w:ascii="Arial" w:hAnsi="Arial" w:cs="Arial"/>
                <w:sz w:val="20"/>
                <w:szCs w:val="20"/>
                <w:lang w:val="es-ES"/>
              </w:rPr>
            </w:pPr>
          </w:p>
        </w:tc>
      </w:tr>
      <w:tr w:rsidR="00006A76" w:rsidRPr="009B0F1D" w14:paraId="36357143" w14:textId="77777777" w:rsidTr="00EC3C5F">
        <w:tc>
          <w:tcPr>
            <w:tcW w:w="4247" w:type="dxa"/>
            <w:vMerge w:val="restart"/>
            <w:vAlign w:val="center"/>
          </w:tcPr>
          <w:p w14:paraId="04143EE0" w14:textId="77777777" w:rsidR="00006A76" w:rsidRPr="00006A76" w:rsidRDefault="00006A76" w:rsidP="00EC3C5F">
            <w:pPr>
              <w:spacing w:after="120" w:line="276" w:lineRule="auto"/>
              <w:rPr>
                <w:rFonts w:ascii="Arial" w:hAnsi="Arial" w:cs="Arial"/>
                <w:sz w:val="20"/>
                <w:szCs w:val="20"/>
                <w:lang w:val="es-ES"/>
              </w:rPr>
            </w:pPr>
            <w:r w:rsidRPr="00E43D09">
              <w:rPr>
                <w:rFonts w:ascii="Arial" w:hAnsi="Arial" w:cs="Arial"/>
                <w:b/>
                <w:bCs/>
                <w:color w:val="1F3864" w:themeColor="accent1" w:themeShade="80"/>
                <w:sz w:val="20"/>
                <w:szCs w:val="20"/>
                <w:lang w:val="es-ES"/>
              </w:rPr>
              <w:lastRenderedPageBreak/>
              <w:t>Principio 3</w:t>
            </w:r>
            <w:r w:rsidRPr="00006A76">
              <w:rPr>
                <w:rFonts w:ascii="Arial" w:hAnsi="Arial" w:cs="Arial"/>
                <w:sz w:val="20"/>
                <w:szCs w:val="20"/>
                <w:lang w:val="es-ES"/>
              </w:rPr>
              <w:br/>
            </w:r>
            <w:r w:rsidRPr="00006A76">
              <w:rPr>
                <w:rFonts w:ascii="Arial" w:hAnsi="Arial" w:cs="Arial"/>
                <w:b/>
                <w:bCs/>
                <w:sz w:val="20"/>
                <w:szCs w:val="20"/>
                <w:lang w:val="es-ES"/>
              </w:rPr>
              <w:t>Recursos Accesibles y Sostenibles</w:t>
            </w:r>
          </w:p>
          <w:p w14:paraId="17BCD02C" w14:textId="77777777" w:rsidR="00006A76" w:rsidRPr="00006A76" w:rsidRDefault="00006A76" w:rsidP="00EC3C5F">
            <w:pPr>
              <w:spacing w:after="120" w:line="276" w:lineRule="auto"/>
              <w:rPr>
                <w:rFonts w:ascii="Arial" w:hAnsi="Arial" w:cs="Arial"/>
                <w:sz w:val="20"/>
                <w:szCs w:val="20"/>
                <w:lang w:val="es-ES"/>
              </w:rPr>
            </w:pPr>
            <w:r w:rsidRPr="00006A76">
              <w:rPr>
                <w:rFonts w:ascii="Arial" w:hAnsi="Arial" w:cs="Arial"/>
                <w:sz w:val="20"/>
                <w:szCs w:val="20"/>
                <w:lang w:val="es-ES"/>
              </w:rPr>
              <w:t>Los actores de la sociedad civil necesitan recursos suficientes, sostenibles y flexibles para operar y alcanzar sus objetivos. Estos recursos incluyen apoyo financiero y no financiero, como el acceso a información, redes y formación.</w:t>
            </w:r>
          </w:p>
          <w:p w14:paraId="418AF5AF" w14:textId="77777777" w:rsidR="00006A76" w:rsidRPr="00006A76" w:rsidRDefault="00006A76" w:rsidP="00EC3C5F">
            <w:pPr>
              <w:spacing w:after="120" w:line="276" w:lineRule="auto"/>
              <w:rPr>
                <w:rFonts w:ascii="Arial" w:hAnsi="Arial" w:cs="Arial"/>
                <w:sz w:val="20"/>
                <w:szCs w:val="20"/>
                <w:lang w:val="es-ES"/>
              </w:rPr>
            </w:pPr>
            <w:r w:rsidRPr="00006A76">
              <w:rPr>
                <w:rFonts w:ascii="Arial" w:hAnsi="Arial" w:cs="Arial"/>
                <w:sz w:val="20"/>
                <w:szCs w:val="20"/>
                <w:lang w:val="es-ES"/>
              </w:rPr>
              <w:t>Este principio evalúa el acceso a diversas fuentes de financiación e información sobre oportunidades existentes. También examina si los recursos permiten a las organizaciones operar de manera eficaz, fortalecer sus capacidades con el tiempo y reducir su vulnerabilidad financiera y operativa.</w:t>
            </w:r>
          </w:p>
          <w:p w14:paraId="2C8FA86F"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437657D8" w14:textId="766A85AA" w:rsidR="00006A76" w:rsidRPr="00C00EF8" w:rsidRDefault="00006A76" w:rsidP="00EC3C5F">
            <w:pPr>
              <w:spacing w:after="120" w:line="276" w:lineRule="auto"/>
              <w:rPr>
                <w:rFonts w:ascii="Arial" w:hAnsi="Arial" w:cs="Arial"/>
                <w:b/>
                <w:bCs/>
                <w:color w:val="1F3864" w:themeColor="accent1" w:themeShade="80"/>
                <w:sz w:val="20"/>
                <w:szCs w:val="20"/>
                <w:lang w:val="es-ES"/>
              </w:rPr>
            </w:pPr>
            <w:r w:rsidRPr="00C00EF8">
              <w:rPr>
                <w:rFonts w:ascii="Arial" w:hAnsi="Arial" w:cs="Arial"/>
                <w:b/>
                <w:bCs/>
                <w:color w:val="1F3864" w:themeColor="accent1" w:themeShade="80"/>
                <w:sz w:val="20"/>
                <w:szCs w:val="20"/>
                <w:lang w:val="es-ES"/>
              </w:rPr>
              <w:t xml:space="preserve">Dimensión 3.1 </w:t>
            </w:r>
          </w:p>
          <w:p w14:paraId="44F598D7" w14:textId="77777777" w:rsidR="00C00EF8" w:rsidRPr="00C00EF8" w:rsidRDefault="00C00EF8" w:rsidP="00C00EF8">
            <w:pPr>
              <w:spacing w:after="120" w:line="276" w:lineRule="auto"/>
              <w:rPr>
                <w:rFonts w:ascii="Arial" w:hAnsi="Arial" w:cs="Arial"/>
                <w:sz w:val="20"/>
                <w:szCs w:val="20"/>
                <w:lang w:val="es-UY"/>
              </w:rPr>
            </w:pPr>
            <w:r w:rsidRPr="00C00EF8">
              <w:rPr>
                <w:rFonts w:ascii="Arial" w:hAnsi="Arial" w:cs="Arial"/>
                <w:b/>
                <w:bCs/>
                <w:sz w:val="20"/>
                <w:szCs w:val="20"/>
                <w:lang w:val="es-UY"/>
              </w:rPr>
              <w:t>Accesibilidad</w:t>
            </w:r>
          </w:p>
          <w:p w14:paraId="1E3D716F" w14:textId="052C1D90" w:rsidR="00006A76" w:rsidRPr="00C00EF8" w:rsidRDefault="00C00EF8" w:rsidP="00EC3C5F">
            <w:pPr>
              <w:spacing w:after="120" w:line="276" w:lineRule="auto"/>
              <w:rPr>
                <w:rFonts w:ascii="Arial" w:hAnsi="Arial" w:cs="Arial"/>
                <w:sz w:val="20"/>
                <w:szCs w:val="20"/>
                <w:lang w:val="es-UY"/>
              </w:rPr>
            </w:pPr>
            <w:r w:rsidRPr="00C00EF8">
              <w:rPr>
                <w:rFonts w:ascii="Arial" w:hAnsi="Arial" w:cs="Arial"/>
                <w:sz w:val="20"/>
                <w:szCs w:val="20"/>
                <w:lang w:val="es-UY"/>
              </w:rPr>
              <w:t>Evalúa la disponibilidad de financiamiento y otros recursos, así como el impacto de los requisitos y condiciones establecidos por el Estado y los donantes en la capacidad de los actores de la sociedad civil para acceder a estos recursos.</w:t>
            </w:r>
          </w:p>
        </w:tc>
      </w:tr>
      <w:tr w:rsidR="00006A76" w:rsidRPr="009B0F1D" w14:paraId="0AC569BD" w14:textId="77777777" w:rsidTr="00EC3C5F">
        <w:tc>
          <w:tcPr>
            <w:tcW w:w="4247" w:type="dxa"/>
            <w:vMerge/>
            <w:vAlign w:val="center"/>
          </w:tcPr>
          <w:p w14:paraId="21E7C8BD"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54027BE3" w14:textId="22016BAE" w:rsidR="00006A76" w:rsidRPr="00C00EF8" w:rsidRDefault="00006A76" w:rsidP="00EC3C5F">
            <w:pPr>
              <w:spacing w:after="120" w:line="276" w:lineRule="auto"/>
              <w:rPr>
                <w:rFonts w:ascii="Arial" w:hAnsi="Arial" w:cs="Arial"/>
                <w:b/>
                <w:bCs/>
                <w:color w:val="1F3864" w:themeColor="accent1" w:themeShade="80"/>
                <w:sz w:val="20"/>
                <w:szCs w:val="20"/>
                <w:lang w:val="es-ES"/>
              </w:rPr>
            </w:pPr>
            <w:r w:rsidRPr="00C00EF8">
              <w:rPr>
                <w:rFonts w:ascii="Arial" w:hAnsi="Arial" w:cs="Arial"/>
                <w:b/>
                <w:bCs/>
                <w:color w:val="1F3864" w:themeColor="accent1" w:themeShade="80"/>
                <w:sz w:val="20"/>
                <w:szCs w:val="20"/>
                <w:lang w:val="es-ES"/>
              </w:rPr>
              <w:t xml:space="preserve">Dimensión 3.2 </w:t>
            </w:r>
          </w:p>
          <w:p w14:paraId="3B98970E" w14:textId="77777777" w:rsidR="00C10905" w:rsidRPr="00C10905" w:rsidRDefault="00C10905" w:rsidP="00C10905">
            <w:pPr>
              <w:spacing w:after="120" w:line="276" w:lineRule="auto"/>
              <w:rPr>
                <w:rFonts w:ascii="Arial" w:hAnsi="Arial" w:cs="Arial"/>
                <w:sz w:val="20"/>
                <w:szCs w:val="20"/>
                <w:lang w:val="es-UY"/>
              </w:rPr>
            </w:pPr>
            <w:r w:rsidRPr="00C10905">
              <w:rPr>
                <w:rFonts w:ascii="Arial" w:hAnsi="Arial" w:cs="Arial"/>
                <w:b/>
                <w:bCs/>
                <w:sz w:val="20"/>
                <w:szCs w:val="20"/>
                <w:lang w:val="es-UY"/>
              </w:rPr>
              <w:t>Efectividad</w:t>
            </w:r>
          </w:p>
          <w:p w14:paraId="540CD147" w14:textId="6DBAD5B4" w:rsidR="00006A76" w:rsidRPr="00C10905" w:rsidRDefault="00C10905" w:rsidP="00EC3C5F">
            <w:pPr>
              <w:spacing w:after="120" w:line="276" w:lineRule="auto"/>
              <w:rPr>
                <w:rFonts w:ascii="Arial" w:hAnsi="Arial" w:cs="Arial"/>
                <w:sz w:val="20"/>
                <w:szCs w:val="20"/>
                <w:lang w:val="es-UY"/>
              </w:rPr>
            </w:pPr>
            <w:r w:rsidRPr="00C10905">
              <w:rPr>
                <w:rFonts w:ascii="Arial" w:hAnsi="Arial" w:cs="Arial"/>
                <w:sz w:val="20"/>
                <w:szCs w:val="20"/>
                <w:lang w:val="es-UY"/>
              </w:rPr>
              <w:t>Examina las condiciones de financiamiento y las relaciones con los donantes en función de su capacidad para permitir que los actores de la sociedad civil logren sus objetivos de manera efectiva. Esto incluye las modalidades, condiciones y dinámicas de relación con donantes y pares, así como los requisitos para el uso de fondos.</w:t>
            </w:r>
          </w:p>
        </w:tc>
      </w:tr>
      <w:tr w:rsidR="00006A76" w:rsidRPr="009B0F1D" w14:paraId="07BF821C" w14:textId="77777777" w:rsidTr="00EC3C5F">
        <w:tc>
          <w:tcPr>
            <w:tcW w:w="4247" w:type="dxa"/>
            <w:vMerge/>
            <w:vAlign w:val="center"/>
          </w:tcPr>
          <w:p w14:paraId="1B491E55"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7EDAA641" w14:textId="4ECB5674" w:rsidR="00006A76" w:rsidRPr="00C00EF8" w:rsidRDefault="00006A76" w:rsidP="00EC3C5F">
            <w:pPr>
              <w:spacing w:after="120" w:line="276" w:lineRule="auto"/>
              <w:rPr>
                <w:rFonts w:ascii="Arial" w:hAnsi="Arial" w:cs="Arial"/>
                <w:b/>
                <w:bCs/>
                <w:color w:val="1F3864" w:themeColor="accent1" w:themeShade="80"/>
                <w:sz w:val="20"/>
                <w:szCs w:val="20"/>
                <w:lang w:val="es-ES"/>
              </w:rPr>
            </w:pPr>
            <w:r w:rsidRPr="00C00EF8">
              <w:rPr>
                <w:rFonts w:ascii="Arial" w:hAnsi="Arial" w:cs="Arial"/>
                <w:b/>
                <w:bCs/>
                <w:color w:val="1F3864" w:themeColor="accent1" w:themeShade="80"/>
                <w:sz w:val="20"/>
                <w:szCs w:val="20"/>
                <w:lang w:val="es-ES"/>
              </w:rPr>
              <w:t xml:space="preserve">Dimensión 3.3 </w:t>
            </w:r>
          </w:p>
          <w:p w14:paraId="1D2CD7C8" w14:textId="77777777" w:rsidR="00C10905" w:rsidRPr="00C10905" w:rsidRDefault="00C10905" w:rsidP="00C10905">
            <w:pPr>
              <w:spacing w:after="120" w:line="276" w:lineRule="auto"/>
              <w:rPr>
                <w:rFonts w:ascii="Arial" w:hAnsi="Arial" w:cs="Arial"/>
                <w:sz w:val="20"/>
                <w:szCs w:val="20"/>
                <w:lang w:val="es-UY"/>
              </w:rPr>
            </w:pPr>
            <w:r w:rsidRPr="00C10905">
              <w:rPr>
                <w:rFonts w:ascii="Arial" w:hAnsi="Arial" w:cs="Arial"/>
                <w:b/>
                <w:bCs/>
                <w:sz w:val="20"/>
                <w:szCs w:val="20"/>
                <w:lang w:val="es-UY"/>
              </w:rPr>
              <w:t>Sostenibilidad</w:t>
            </w:r>
          </w:p>
          <w:p w14:paraId="5F1D7287" w14:textId="45FEB0C8" w:rsidR="00006A76" w:rsidRPr="00AF28B3" w:rsidRDefault="00C10905" w:rsidP="00C10905">
            <w:pPr>
              <w:spacing w:after="120" w:line="276" w:lineRule="auto"/>
              <w:rPr>
                <w:rFonts w:ascii="Arial" w:hAnsi="Arial" w:cs="Arial"/>
                <w:sz w:val="20"/>
                <w:szCs w:val="20"/>
                <w:lang w:val="es-ES"/>
              </w:rPr>
            </w:pPr>
            <w:r w:rsidRPr="00C10905">
              <w:rPr>
                <w:rFonts w:ascii="Arial" w:hAnsi="Arial" w:cs="Arial"/>
                <w:sz w:val="20"/>
                <w:szCs w:val="20"/>
                <w:lang w:val="es-UY"/>
              </w:rPr>
              <w:t>Evalúa la estabilidad y previsibilidad a largo plazo de las fuentes de financiamiento, garantizando la continuidad operativa, la ejecución de programas y la resiliencia de los actores de la sociedad civil a lo largo del tiempo.</w:t>
            </w:r>
          </w:p>
        </w:tc>
      </w:tr>
      <w:tr w:rsidR="00006A76" w:rsidRPr="009B0F1D" w14:paraId="739BA135" w14:textId="77777777" w:rsidTr="00EC3C5F">
        <w:tc>
          <w:tcPr>
            <w:tcW w:w="4247" w:type="dxa"/>
            <w:vMerge w:val="restart"/>
            <w:vAlign w:val="center"/>
          </w:tcPr>
          <w:p w14:paraId="2DC224A2" w14:textId="13BB5A10" w:rsidR="006351B5" w:rsidRDefault="006351B5" w:rsidP="006351B5">
            <w:pPr>
              <w:spacing w:after="120" w:line="276" w:lineRule="auto"/>
              <w:rPr>
                <w:rFonts w:ascii="Arial" w:hAnsi="Arial" w:cs="Arial"/>
                <w:b/>
                <w:bCs/>
                <w:sz w:val="20"/>
                <w:szCs w:val="20"/>
                <w:lang w:val="es-ES"/>
              </w:rPr>
            </w:pPr>
            <w:r w:rsidRPr="00E43D09">
              <w:rPr>
                <w:rFonts w:ascii="Arial" w:hAnsi="Arial" w:cs="Arial"/>
                <w:b/>
                <w:bCs/>
                <w:color w:val="1F3864" w:themeColor="accent1" w:themeShade="80"/>
                <w:sz w:val="20"/>
                <w:szCs w:val="20"/>
                <w:lang w:val="es-ES"/>
              </w:rPr>
              <w:t xml:space="preserve">Principio </w:t>
            </w:r>
            <w:r>
              <w:rPr>
                <w:rFonts w:ascii="Arial" w:hAnsi="Arial" w:cs="Arial"/>
                <w:b/>
                <w:bCs/>
                <w:color w:val="1F3864" w:themeColor="accent1" w:themeShade="80"/>
                <w:sz w:val="20"/>
                <w:szCs w:val="20"/>
                <w:lang w:val="es-ES"/>
              </w:rPr>
              <w:t>4</w:t>
            </w:r>
          </w:p>
          <w:p w14:paraId="0246B0F7" w14:textId="498FD3EE" w:rsidR="006351B5" w:rsidRPr="006351B5" w:rsidRDefault="006351B5" w:rsidP="006351B5">
            <w:pPr>
              <w:spacing w:after="120" w:line="276" w:lineRule="auto"/>
              <w:rPr>
                <w:rFonts w:ascii="Arial" w:hAnsi="Arial" w:cs="Arial"/>
                <w:sz w:val="20"/>
                <w:szCs w:val="20"/>
                <w:lang w:val="es-UY"/>
              </w:rPr>
            </w:pPr>
            <w:r w:rsidRPr="006351B5">
              <w:rPr>
                <w:rFonts w:ascii="Arial" w:hAnsi="Arial" w:cs="Arial"/>
                <w:b/>
                <w:bCs/>
                <w:sz w:val="20"/>
                <w:szCs w:val="20"/>
                <w:lang w:val="es-UY"/>
              </w:rPr>
              <w:t>Estado Abierto y Receptivo</w:t>
            </w:r>
          </w:p>
          <w:p w14:paraId="6CFFB118" w14:textId="77777777" w:rsidR="006351B5" w:rsidRPr="006351B5" w:rsidRDefault="006351B5" w:rsidP="006351B5">
            <w:pPr>
              <w:spacing w:after="120" w:line="276" w:lineRule="auto"/>
              <w:rPr>
                <w:rFonts w:ascii="Arial" w:hAnsi="Arial" w:cs="Arial"/>
                <w:sz w:val="20"/>
                <w:szCs w:val="20"/>
                <w:lang w:val="es-UY"/>
              </w:rPr>
            </w:pPr>
            <w:r w:rsidRPr="006351B5">
              <w:rPr>
                <w:rFonts w:ascii="Arial" w:hAnsi="Arial" w:cs="Arial"/>
                <w:sz w:val="20"/>
                <w:szCs w:val="20"/>
                <w:lang w:val="es-UY"/>
              </w:rPr>
              <w:t>El Estado debe demostrar apertura y receptividad en sus interacciones con la sociedad civil.</w:t>
            </w:r>
          </w:p>
          <w:p w14:paraId="2839DCDC" w14:textId="77777777" w:rsidR="006351B5" w:rsidRPr="006351B5" w:rsidRDefault="006351B5" w:rsidP="006351B5">
            <w:pPr>
              <w:spacing w:after="120" w:line="276" w:lineRule="auto"/>
              <w:rPr>
                <w:rFonts w:ascii="Arial" w:hAnsi="Arial" w:cs="Arial"/>
                <w:sz w:val="20"/>
                <w:szCs w:val="20"/>
                <w:lang w:val="es-UY"/>
              </w:rPr>
            </w:pPr>
            <w:r w:rsidRPr="006351B5">
              <w:rPr>
                <w:rFonts w:ascii="Arial" w:hAnsi="Arial" w:cs="Arial"/>
                <w:sz w:val="20"/>
                <w:szCs w:val="20"/>
                <w:lang w:val="es-UY"/>
              </w:rPr>
              <w:t>Esto incluye transparencia en los procesos de toma de decisiones, acceso a la toma de decisiones, oportunidades significativas e inclusivas para la participación de la sociedad civil en la formulación de políticas y la gobernanza, así como rendición de cuentas por sus acciones.</w:t>
            </w:r>
          </w:p>
          <w:p w14:paraId="5222BEBB" w14:textId="0A6C9C85"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70DABC45" w14:textId="177A23D6" w:rsidR="004A7E84" w:rsidRPr="004A7E84" w:rsidRDefault="004A7E84" w:rsidP="004A7E84">
            <w:pPr>
              <w:spacing w:after="120" w:line="276" w:lineRule="auto"/>
              <w:rPr>
                <w:rFonts w:ascii="Arial" w:hAnsi="Arial" w:cs="Arial"/>
                <w:b/>
                <w:bCs/>
                <w:sz w:val="20"/>
                <w:szCs w:val="20"/>
                <w:lang w:val="es-UY"/>
              </w:rPr>
            </w:pPr>
            <w:r w:rsidRPr="004A7E84">
              <w:rPr>
                <w:rFonts w:ascii="Arial" w:hAnsi="Arial" w:cs="Arial"/>
                <w:b/>
                <w:bCs/>
                <w:color w:val="1F3864" w:themeColor="accent1" w:themeShade="80"/>
                <w:sz w:val="20"/>
                <w:szCs w:val="20"/>
                <w:lang w:val="es-ES"/>
              </w:rPr>
              <w:t>Dimensión 4.1</w:t>
            </w:r>
            <w:r>
              <w:rPr>
                <w:rFonts w:ascii="Arial" w:hAnsi="Arial" w:cs="Arial"/>
                <w:b/>
                <w:bCs/>
                <w:sz w:val="20"/>
                <w:szCs w:val="20"/>
                <w:lang w:val="es-UY"/>
              </w:rPr>
              <w:br/>
            </w:r>
            <w:r w:rsidRPr="004A7E84">
              <w:rPr>
                <w:rFonts w:ascii="Arial" w:hAnsi="Arial" w:cs="Arial"/>
                <w:b/>
                <w:bCs/>
                <w:sz w:val="20"/>
                <w:szCs w:val="20"/>
                <w:lang w:val="es-UY"/>
              </w:rPr>
              <w:t>Transparencia</w:t>
            </w:r>
          </w:p>
          <w:p w14:paraId="19FC0013" w14:textId="3E2906F7" w:rsidR="00006A76" w:rsidRPr="004A7E84" w:rsidRDefault="004A7E84" w:rsidP="00EC3C5F">
            <w:pPr>
              <w:spacing w:after="120" w:line="276" w:lineRule="auto"/>
              <w:rPr>
                <w:rFonts w:ascii="Arial" w:hAnsi="Arial" w:cs="Arial"/>
                <w:sz w:val="20"/>
                <w:szCs w:val="20"/>
                <w:lang w:val="es-UY"/>
              </w:rPr>
            </w:pPr>
            <w:r w:rsidRPr="004A7E84">
              <w:rPr>
                <w:rFonts w:ascii="Arial" w:hAnsi="Arial" w:cs="Arial"/>
                <w:sz w:val="20"/>
                <w:szCs w:val="20"/>
                <w:lang w:val="es-UY"/>
              </w:rPr>
              <w:t>Examina el acceso público a la información gubernamental, permitiendo que la sociedad civil participe en los debates sobre políticas y supervise las acciones del gobierno.</w:t>
            </w:r>
          </w:p>
        </w:tc>
      </w:tr>
      <w:tr w:rsidR="00006A76" w:rsidRPr="009B0F1D" w14:paraId="496ECEDF" w14:textId="77777777" w:rsidTr="00EC3C5F">
        <w:tc>
          <w:tcPr>
            <w:tcW w:w="4247" w:type="dxa"/>
            <w:vMerge/>
            <w:vAlign w:val="center"/>
          </w:tcPr>
          <w:p w14:paraId="72B4D9DC"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54DCF258" w14:textId="124DD619" w:rsidR="004A7E84" w:rsidRPr="004A7E84" w:rsidRDefault="004A7E84" w:rsidP="004A7E84">
            <w:pPr>
              <w:spacing w:after="120" w:line="276" w:lineRule="auto"/>
              <w:rPr>
                <w:rFonts w:ascii="Arial" w:hAnsi="Arial" w:cs="Arial"/>
                <w:sz w:val="20"/>
                <w:szCs w:val="20"/>
                <w:lang w:val="es-UY"/>
              </w:rPr>
            </w:pPr>
            <w:r w:rsidRPr="004A7E84">
              <w:rPr>
                <w:rFonts w:ascii="Arial" w:hAnsi="Arial" w:cs="Arial"/>
                <w:b/>
                <w:bCs/>
                <w:color w:val="1F3864" w:themeColor="accent1" w:themeShade="80"/>
                <w:sz w:val="20"/>
                <w:szCs w:val="20"/>
                <w:lang w:val="es-ES"/>
              </w:rPr>
              <w:t>Dimensión 4.2</w:t>
            </w:r>
            <w:r>
              <w:rPr>
                <w:rFonts w:ascii="Arial" w:hAnsi="Arial" w:cs="Arial"/>
                <w:b/>
                <w:bCs/>
                <w:sz w:val="20"/>
                <w:szCs w:val="20"/>
                <w:lang w:val="es-UY"/>
              </w:rPr>
              <w:br/>
            </w:r>
            <w:r w:rsidRPr="004A7E84">
              <w:rPr>
                <w:rFonts w:ascii="Arial" w:hAnsi="Arial" w:cs="Arial"/>
                <w:b/>
                <w:bCs/>
                <w:sz w:val="20"/>
                <w:szCs w:val="20"/>
                <w:lang w:val="es-UY"/>
              </w:rPr>
              <w:t>Participación</w:t>
            </w:r>
          </w:p>
          <w:p w14:paraId="1F16D179" w14:textId="69B2D3F8" w:rsidR="00006A76" w:rsidRPr="004A7E84" w:rsidRDefault="004A7E84" w:rsidP="00EC3C5F">
            <w:pPr>
              <w:spacing w:after="120" w:line="276" w:lineRule="auto"/>
              <w:rPr>
                <w:rFonts w:ascii="Arial" w:hAnsi="Arial" w:cs="Arial"/>
                <w:sz w:val="20"/>
                <w:szCs w:val="20"/>
                <w:lang w:val="es-UY"/>
              </w:rPr>
            </w:pPr>
            <w:r w:rsidRPr="004A7E84">
              <w:rPr>
                <w:rFonts w:ascii="Arial" w:hAnsi="Arial" w:cs="Arial"/>
                <w:sz w:val="20"/>
                <w:szCs w:val="20"/>
                <w:lang w:val="es-UY"/>
              </w:rPr>
              <w:t>Evalúa la participación de los actores de la sociedad civil en la toma de decisiones, aprovechando su experiencia para fomentar el debate público y la rendición de cuentas.</w:t>
            </w:r>
          </w:p>
        </w:tc>
      </w:tr>
      <w:tr w:rsidR="00006A76" w:rsidRPr="009B0F1D" w14:paraId="7870E7B2" w14:textId="77777777" w:rsidTr="00EC3C5F">
        <w:tc>
          <w:tcPr>
            <w:tcW w:w="4247" w:type="dxa"/>
            <w:vMerge/>
            <w:vAlign w:val="center"/>
          </w:tcPr>
          <w:p w14:paraId="6636C16D"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39CD68F8" w14:textId="79B197D9" w:rsidR="004A7E84" w:rsidRPr="004A7E84" w:rsidRDefault="004A7E84" w:rsidP="004A7E84">
            <w:pPr>
              <w:spacing w:after="120" w:line="276" w:lineRule="auto"/>
              <w:rPr>
                <w:rFonts w:ascii="Arial" w:hAnsi="Arial" w:cs="Arial"/>
                <w:sz w:val="20"/>
                <w:szCs w:val="20"/>
                <w:lang w:val="es-UY"/>
              </w:rPr>
            </w:pPr>
            <w:r w:rsidRPr="004A7E84">
              <w:rPr>
                <w:rFonts w:ascii="Arial" w:hAnsi="Arial" w:cs="Arial"/>
                <w:b/>
                <w:bCs/>
                <w:color w:val="1F3864" w:themeColor="accent1" w:themeShade="80"/>
                <w:sz w:val="20"/>
                <w:szCs w:val="20"/>
                <w:lang w:val="es-ES"/>
              </w:rPr>
              <w:t>Dimensión 4.3</w:t>
            </w:r>
            <w:r>
              <w:rPr>
                <w:rFonts w:ascii="Arial" w:hAnsi="Arial" w:cs="Arial"/>
                <w:b/>
                <w:bCs/>
                <w:sz w:val="20"/>
                <w:szCs w:val="20"/>
                <w:lang w:val="es-UY"/>
              </w:rPr>
              <w:br/>
            </w:r>
            <w:r w:rsidRPr="004A7E84">
              <w:rPr>
                <w:rFonts w:ascii="Arial" w:hAnsi="Arial" w:cs="Arial"/>
                <w:b/>
                <w:bCs/>
                <w:sz w:val="20"/>
                <w:szCs w:val="20"/>
                <w:lang w:val="es-UY"/>
              </w:rPr>
              <w:t>Rendición de Cuentas</w:t>
            </w:r>
          </w:p>
          <w:p w14:paraId="5DA75B92" w14:textId="55DD66A7" w:rsidR="00006A76" w:rsidRPr="004A7E84" w:rsidRDefault="004A7E84" w:rsidP="00EC3C5F">
            <w:pPr>
              <w:spacing w:after="120" w:line="276" w:lineRule="auto"/>
              <w:rPr>
                <w:rFonts w:ascii="Arial" w:hAnsi="Arial" w:cs="Arial"/>
                <w:sz w:val="20"/>
                <w:szCs w:val="20"/>
                <w:lang w:val="es-UY"/>
              </w:rPr>
            </w:pPr>
            <w:r w:rsidRPr="004A7E84">
              <w:rPr>
                <w:rFonts w:ascii="Arial" w:hAnsi="Arial" w:cs="Arial"/>
                <w:sz w:val="20"/>
                <w:szCs w:val="20"/>
                <w:lang w:val="es-UY"/>
              </w:rPr>
              <w:t xml:space="preserve">Se refiere a la responsabilidad del gobierno de proporcionar retroalimentación clara, detallada y transparente a los actores de la sociedad civil sobre cómo su contribución ha </w:t>
            </w:r>
            <w:r w:rsidRPr="004A7E84">
              <w:rPr>
                <w:rFonts w:ascii="Arial" w:hAnsi="Arial" w:cs="Arial"/>
                <w:sz w:val="20"/>
                <w:szCs w:val="20"/>
                <w:lang w:val="es-UY"/>
              </w:rPr>
              <w:lastRenderedPageBreak/>
              <w:t>influido en los procesos de toma de decisiones.</w:t>
            </w:r>
          </w:p>
        </w:tc>
      </w:tr>
      <w:tr w:rsidR="00006A76" w:rsidRPr="009B0F1D" w14:paraId="18F21B12" w14:textId="77777777" w:rsidTr="00EC3C5F">
        <w:tc>
          <w:tcPr>
            <w:tcW w:w="4247" w:type="dxa"/>
            <w:vMerge w:val="restart"/>
            <w:vAlign w:val="center"/>
          </w:tcPr>
          <w:p w14:paraId="655DF8A9" w14:textId="77777777" w:rsidR="00006A76" w:rsidRPr="00AF28B3" w:rsidRDefault="00006A76" w:rsidP="00EC3C5F">
            <w:pPr>
              <w:numPr>
                <w:ilvl w:val="0"/>
                <w:numId w:val="1"/>
              </w:numPr>
              <w:spacing w:after="120" w:line="276" w:lineRule="auto"/>
              <w:ind w:left="0"/>
              <w:rPr>
                <w:rFonts w:ascii="Arial" w:hAnsi="Arial" w:cs="Arial"/>
                <w:sz w:val="20"/>
                <w:szCs w:val="20"/>
                <w:lang w:val="es-ES"/>
              </w:rPr>
            </w:pPr>
            <w:r w:rsidRPr="00E43D09">
              <w:rPr>
                <w:rFonts w:ascii="Arial" w:hAnsi="Arial" w:cs="Arial"/>
                <w:b/>
                <w:bCs/>
                <w:color w:val="1F3864" w:themeColor="accent1" w:themeShade="80"/>
                <w:sz w:val="20"/>
                <w:szCs w:val="20"/>
                <w:lang w:val="es-ES"/>
              </w:rPr>
              <w:lastRenderedPageBreak/>
              <w:t>Principio 5</w:t>
            </w:r>
            <w:r w:rsidRPr="00006A76">
              <w:rPr>
                <w:rFonts w:ascii="Arial" w:hAnsi="Arial" w:cs="Arial"/>
                <w:sz w:val="20"/>
                <w:szCs w:val="20"/>
                <w:lang w:val="es-ES"/>
              </w:rPr>
              <w:br/>
            </w:r>
            <w:r w:rsidRPr="00AF28B3">
              <w:rPr>
                <w:rFonts w:ascii="Arial" w:hAnsi="Arial" w:cs="Arial"/>
                <w:b/>
                <w:bCs/>
                <w:sz w:val="20"/>
                <w:szCs w:val="20"/>
                <w:lang w:val="es-ES"/>
              </w:rPr>
              <w:t>Cultura pública y discursos favorables hacia la sociedad civil</w:t>
            </w:r>
          </w:p>
          <w:p w14:paraId="6B906CE1" w14:textId="61194F92" w:rsidR="00006A76" w:rsidRPr="00006A76" w:rsidRDefault="00006A76" w:rsidP="00EC3C5F">
            <w:pPr>
              <w:spacing w:after="120" w:line="276" w:lineRule="auto"/>
              <w:rPr>
                <w:rFonts w:ascii="Arial" w:hAnsi="Arial" w:cs="Arial"/>
                <w:sz w:val="20"/>
                <w:szCs w:val="20"/>
                <w:lang w:val="es-ES"/>
              </w:rPr>
            </w:pPr>
          </w:p>
          <w:p w14:paraId="5F30A5B2"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68517B3F" w14:textId="646612AC" w:rsidR="00006A76" w:rsidRPr="004A7E84" w:rsidRDefault="00006A76" w:rsidP="00EC3C5F">
            <w:pPr>
              <w:spacing w:after="120" w:line="276" w:lineRule="auto"/>
              <w:rPr>
                <w:rFonts w:ascii="Arial" w:hAnsi="Arial" w:cs="Arial"/>
                <w:sz w:val="20"/>
                <w:szCs w:val="20"/>
                <w:lang w:val="es-ES"/>
              </w:rPr>
            </w:pPr>
            <w:r w:rsidRPr="004A7E84">
              <w:rPr>
                <w:rFonts w:ascii="Arial" w:hAnsi="Arial" w:cs="Arial"/>
                <w:b/>
                <w:bCs/>
                <w:color w:val="1F3864" w:themeColor="accent1" w:themeShade="80"/>
                <w:sz w:val="20"/>
                <w:szCs w:val="20"/>
                <w:lang w:val="es-ES"/>
              </w:rPr>
              <w:t>Dimensión 5.1</w:t>
            </w:r>
            <w:r w:rsidRPr="004A7E84">
              <w:rPr>
                <w:rFonts w:ascii="Arial" w:hAnsi="Arial" w:cs="Arial"/>
                <w:sz w:val="20"/>
                <w:szCs w:val="20"/>
                <w:lang w:val="es-ES"/>
              </w:rPr>
              <w:br/>
            </w:r>
            <w:r w:rsidRPr="004A7E84">
              <w:rPr>
                <w:rFonts w:ascii="Arial" w:hAnsi="Arial" w:cs="Arial"/>
                <w:b/>
                <w:bCs/>
                <w:sz w:val="20"/>
                <w:szCs w:val="20"/>
                <w:lang w:val="es-ES"/>
              </w:rPr>
              <w:t>Discurso Público y Diálogo Constructivo sobre la Sociedad Civil</w:t>
            </w:r>
            <w:r w:rsidRPr="004A7E84">
              <w:rPr>
                <w:rFonts w:ascii="Arial" w:hAnsi="Arial" w:cs="Arial"/>
                <w:sz w:val="20"/>
                <w:szCs w:val="20"/>
                <w:lang w:val="es-ES"/>
              </w:rPr>
              <w:br/>
              <w:t>Cómo se representa la sociedad civil en los debates públicos, incluyendo la retórica gubernamental, la representación en los medios de comunicación y el diálogo político. Evalúa si estos diálogos son respetuosos, inclusivos y en qué medida las perspectivas y pruebas aportadas por los actores de la sociedad civil se integran en los debates políticos y sociales.</w:t>
            </w:r>
          </w:p>
        </w:tc>
      </w:tr>
      <w:tr w:rsidR="00006A76" w:rsidRPr="009B0F1D" w14:paraId="78F30B90" w14:textId="77777777" w:rsidTr="00EC3C5F">
        <w:tc>
          <w:tcPr>
            <w:tcW w:w="4247" w:type="dxa"/>
            <w:vMerge/>
            <w:vAlign w:val="center"/>
          </w:tcPr>
          <w:p w14:paraId="25F5D677"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633164C0" w14:textId="0BB9ADE1" w:rsidR="00006A76" w:rsidRPr="004A7E84" w:rsidRDefault="00006A76" w:rsidP="00EC3C5F">
            <w:pPr>
              <w:spacing w:after="120" w:line="276" w:lineRule="auto"/>
              <w:rPr>
                <w:rFonts w:ascii="Arial" w:hAnsi="Arial" w:cs="Arial"/>
                <w:sz w:val="20"/>
                <w:szCs w:val="20"/>
                <w:lang w:val="es-ES"/>
              </w:rPr>
            </w:pPr>
            <w:r w:rsidRPr="004A7E84">
              <w:rPr>
                <w:rFonts w:ascii="Arial" w:hAnsi="Arial" w:cs="Arial"/>
                <w:b/>
                <w:bCs/>
                <w:color w:val="1F3864" w:themeColor="accent1" w:themeShade="80"/>
                <w:sz w:val="20"/>
                <w:szCs w:val="20"/>
                <w:lang w:val="es-ES"/>
              </w:rPr>
              <w:t>Dimensión 5.2</w:t>
            </w:r>
            <w:r w:rsidRPr="004A7E84">
              <w:rPr>
                <w:rFonts w:ascii="Arial" w:hAnsi="Arial" w:cs="Arial"/>
                <w:sz w:val="20"/>
                <w:szCs w:val="20"/>
                <w:lang w:val="es-ES"/>
              </w:rPr>
              <w:br/>
            </w:r>
            <w:r w:rsidRPr="004A7E84">
              <w:rPr>
                <w:rFonts w:ascii="Arial" w:hAnsi="Arial" w:cs="Arial"/>
                <w:b/>
                <w:bCs/>
                <w:sz w:val="20"/>
                <w:szCs w:val="20"/>
                <w:lang w:val="es-ES"/>
              </w:rPr>
              <w:t>Percepción de la Sociedad Civil y la Participación Cívica</w:t>
            </w:r>
            <w:r w:rsidRPr="004A7E84">
              <w:rPr>
                <w:rFonts w:ascii="Arial" w:hAnsi="Arial" w:cs="Arial"/>
                <w:sz w:val="20"/>
                <w:szCs w:val="20"/>
                <w:lang w:val="es-ES"/>
              </w:rPr>
              <w:br/>
              <w:t>La creencia de la ciudadanía en la capacidad de la sociedad civil para influir en la gobernanza y en su propio papel para contribuir al cambio social. Incluye la participación en procesos políticos, iniciativas comunitarias y la interacción con actores de la sociedad civil. Esta dimensión también considera la accesibilidad de la educación cívica.</w:t>
            </w:r>
          </w:p>
        </w:tc>
      </w:tr>
      <w:tr w:rsidR="00006A76" w:rsidRPr="009B0F1D" w14:paraId="2F389E57" w14:textId="77777777" w:rsidTr="00EC3C5F">
        <w:tc>
          <w:tcPr>
            <w:tcW w:w="4247" w:type="dxa"/>
            <w:vMerge/>
            <w:vAlign w:val="center"/>
          </w:tcPr>
          <w:p w14:paraId="7A18F62C"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2AA8F7D6" w14:textId="01A0DFD8" w:rsidR="00006A76" w:rsidRPr="004A7E84" w:rsidRDefault="00006A76" w:rsidP="00EC3C5F">
            <w:pPr>
              <w:spacing w:after="120" w:line="276" w:lineRule="auto"/>
              <w:rPr>
                <w:rFonts w:ascii="Arial" w:hAnsi="Arial" w:cs="Arial"/>
                <w:sz w:val="20"/>
                <w:szCs w:val="20"/>
                <w:lang w:val="es-ES"/>
              </w:rPr>
            </w:pPr>
            <w:r w:rsidRPr="004A7E84">
              <w:rPr>
                <w:rFonts w:ascii="Arial" w:hAnsi="Arial" w:cs="Arial"/>
                <w:b/>
                <w:bCs/>
                <w:color w:val="1F3864" w:themeColor="accent1" w:themeShade="80"/>
                <w:sz w:val="20"/>
                <w:szCs w:val="20"/>
                <w:lang w:val="es-ES"/>
              </w:rPr>
              <w:t>Dimensión 5.3</w:t>
            </w:r>
            <w:r w:rsidRPr="004A7E84">
              <w:rPr>
                <w:rFonts w:ascii="Arial" w:hAnsi="Arial" w:cs="Arial"/>
                <w:sz w:val="20"/>
                <w:szCs w:val="20"/>
                <w:lang w:val="es-ES"/>
              </w:rPr>
              <w:br/>
            </w:r>
            <w:r w:rsidRPr="004A7E84">
              <w:rPr>
                <w:rFonts w:ascii="Arial" w:hAnsi="Arial" w:cs="Arial"/>
                <w:b/>
                <w:bCs/>
                <w:sz w:val="20"/>
                <w:szCs w:val="20"/>
                <w:lang w:val="es-ES"/>
              </w:rPr>
              <w:t>Igualdad e Inclusión Cívica</w:t>
            </w:r>
            <w:r w:rsidRPr="004A7E84">
              <w:rPr>
                <w:rFonts w:ascii="Arial" w:hAnsi="Arial" w:cs="Arial"/>
                <w:sz w:val="20"/>
                <w:szCs w:val="20"/>
                <w:lang w:val="es-ES"/>
              </w:rPr>
              <w:br/>
              <w:t>El grado en que todas las personas, independientemente de su estatus socioeconómico, género, etnia u otras características, tienen los mismos derechos y oportunidades para participar en los procesos cívicos. Examina las barreras a la participación y la representación de grupos marginados en la sociedad civil.</w:t>
            </w:r>
          </w:p>
        </w:tc>
      </w:tr>
      <w:tr w:rsidR="00006A76" w:rsidRPr="009B0F1D" w14:paraId="2178D93D" w14:textId="77777777" w:rsidTr="00EC3C5F">
        <w:tc>
          <w:tcPr>
            <w:tcW w:w="4247" w:type="dxa"/>
            <w:vMerge w:val="restart"/>
            <w:vAlign w:val="center"/>
          </w:tcPr>
          <w:p w14:paraId="1808E6B3" w14:textId="77777777" w:rsidR="00486F5D" w:rsidRPr="00486F5D" w:rsidRDefault="00486F5D" w:rsidP="00486F5D">
            <w:pPr>
              <w:spacing w:after="120" w:line="276" w:lineRule="auto"/>
              <w:rPr>
                <w:rFonts w:ascii="Arial" w:hAnsi="Arial" w:cs="Arial"/>
                <w:b/>
                <w:bCs/>
                <w:color w:val="1F3864" w:themeColor="accent1" w:themeShade="80"/>
                <w:sz w:val="20"/>
                <w:szCs w:val="20"/>
                <w:lang w:val="es-ES"/>
              </w:rPr>
            </w:pPr>
            <w:r w:rsidRPr="00486F5D">
              <w:rPr>
                <w:rFonts w:ascii="Arial" w:hAnsi="Arial" w:cs="Arial"/>
                <w:b/>
                <w:bCs/>
                <w:color w:val="1F3864" w:themeColor="accent1" w:themeShade="80"/>
                <w:sz w:val="20"/>
                <w:szCs w:val="20"/>
                <w:lang w:val="es-ES"/>
              </w:rPr>
              <w:t>Principio 6</w:t>
            </w:r>
          </w:p>
          <w:p w14:paraId="28872118" w14:textId="77777777" w:rsidR="00486F5D" w:rsidRPr="00486F5D" w:rsidRDefault="00486F5D" w:rsidP="00486F5D">
            <w:pPr>
              <w:spacing w:after="120" w:line="276" w:lineRule="auto"/>
              <w:rPr>
                <w:rFonts w:ascii="Arial" w:hAnsi="Arial" w:cs="Arial"/>
                <w:sz w:val="20"/>
                <w:szCs w:val="20"/>
                <w:lang w:val="es-UY"/>
              </w:rPr>
            </w:pPr>
            <w:r w:rsidRPr="00486F5D">
              <w:rPr>
                <w:rFonts w:ascii="Arial" w:hAnsi="Arial" w:cs="Arial"/>
                <w:b/>
                <w:bCs/>
                <w:sz w:val="20"/>
                <w:szCs w:val="20"/>
                <w:lang w:val="es-UY"/>
              </w:rPr>
              <w:t>Acceso a un entorno digital seguro</w:t>
            </w:r>
          </w:p>
          <w:p w14:paraId="630D54CE" w14:textId="77777777" w:rsidR="00486F5D" w:rsidRPr="00486F5D" w:rsidRDefault="00486F5D" w:rsidP="00486F5D">
            <w:pPr>
              <w:spacing w:after="120" w:line="276" w:lineRule="auto"/>
              <w:rPr>
                <w:rFonts w:ascii="Arial" w:hAnsi="Arial" w:cs="Arial"/>
                <w:sz w:val="20"/>
                <w:szCs w:val="20"/>
                <w:lang w:val="es-UY"/>
              </w:rPr>
            </w:pPr>
            <w:r w:rsidRPr="00486F5D">
              <w:rPr>
                <w:rFonts w:ascii="Arial" w:hAnsi="Arial" w:cs="Arial"/>
                <w:sz w:val="20"/>
                <w:szCs w:val="20"/>
                <w:lang w:val="es-UY"/>
              </w:rPr>
              <w:t>El entorno digital de un país debe permitir que los actores de la sociedad civil participen de manera segura y libre.</w:t>
            </w:r>
          </w:p>
          <w:p w14:paraId="117B60CB" w14:textId="77777777" w:rsidR="00486F5D" w:rsidRPr="00486F5D" w:rsidRDefault="00486F5D" w:rsidP="00486F5D">
            <w:pPr>
              <w:spacing w:after="120" w:line="276" w:lineRule="auto"/>
              <w:rPr>
                <w:rFonts w:ascii="Arial" w:hAnsi="Arial" w:cs="Arial"/>
                <w:sz w:val="20"/>
                <w:szCs w:val="20"/>
                <w:lang w:val="es-UY"/>
              </w:rPr>
            </w:pPr>
            <w:r w:rsidRPr="00486F5D">
              <w:rPr>
                <w:rFonts w:ascii="Arial" w:hAnsi="Arial" w:cs="Arial"/>
                <w:sz w:val="20"/>
                <w:szCs w:val="20"/>
                <w:lang w:val="es-UY"/>
              </w:rPr>
              <w:t>Este principio considera el acceso a la información sin censura, apagones de internet o vigilancia, así como la protección contra ciberataques y campañas de desinformación.</w:t>
            </w:r>
          </w:p>
          <w:p w14:paraId="453D0C2F" w14:textId="77777777" w:rsidR="00486F5D" w:rsidRPr="00486F5D" w:rsidRDefault="00486F5D" w:rsidP="00486F5D">
            <w:pPr>
              <w:spacing w:after="120" w:line="276" w:lineRule="auto"/>
              <w:rPr>
                <w:rFonts w:ascii="Arial" w:hAnsi="Arial" w:cs="Arial"/>
                <w:sz w:val="20"/>
                <w:szCs w:val="20"/>
                <w:lang w:val="es-UY"/>
              </w:rPr>
            </w:pPr>
            <w:r w:rsidRPr="00486F5D">
              <w:rPr>
                <w:rFonts w:ascii="Arial" w:hAnsi="Arial" w:cs="Arial"/>
                <w:sz w:val="20"/>
                <w:szCs w:val="20"/>
                <w:lang w:val="es-UY"/>
              </w:rPr>
              <w:lastRenderedPageBreak/>
              <w:t>Además, resalta la importancia de la seguridad digital, la privacidad y el acceso a las TIC para una participación efectiva.</w:t>
            </w:r>
          </w:p>
          <w:p w14:paraId="62716E34" w14:textId="3C04C058" w:rsidR="00006A76" w:rsidRPr="00486F5D" w:rsidRDefault="00006A76" w:rsidP="00EC3C5F">
            <w:pPr>
              <w:spacing w:after="120" w:line="276" w:lineRule="auto"/>
              <w:rPr>
                <w:rFonts w:ascii="Arial" w:hAnsi="Arial" w:cs="Arial"/>
                <w:sz w:val="20"/>
                <w:szCs w:val="20"/>
                <w:lang w:val="es-UY"/>
              </w:rPr>
            </w:pPr>
          </w:p>
        </w:tc>
        <w:tc>
          <w:tcPr>
            <w:tcW w:w="4247" w:type="dxa"/>
            <w:vAlign w:val="center"/>
          </w:tcPr>
          <w:p w14:paraId="0937BF00" w14:textId="77777777" w:rsidR="00126BFC" w:rsidRPr="00126BFC" w:rsidRDefault="00126BFC" w:rsidP="00126BFC">
            <w:pPr>
              <w:spacing w:after="120" w:line="276" w:lineRule="auto"/>
              <w:rPr>
                <w:rFonts w:ascii="Arial" w:hAnsi="Arial" w:cs="Arial"/>
                <w:b/>
                <w:bCs/>
                <w:color w:val="1F3864" w:themeColor="accent1" w:themeShade="80"/>
                <w:sz w:val="20"/>
                <w:szCs w:val="20"/>
                <w:lang w:val="es-ES"/>
              </w:rPr>
            </w:pPr>
            <w:r w:rsidRPr="00126BFC">
              <w:rPr>
                <w:rFonts w:ascii="Arial" w:hAnsi="Arial" w:cs="Arial"/>
                <w:b/>
                <w:bCs/>
                <w:color w:val="1F3864" w:themeColor="accent1" w:themeShade="80"/>
                <w:sz w:val="20"/>
                <w:szCs w:val="20"/>
                <w:lang w:val="es-ES"/>
              </w:rPr>
              <w:lastRenderedPageBreak/>
              <w:t>Dimensión 6.1</w:t>
            </w:r>
          </w:p>
          <w:p w14:paraId="3AA708FD" w14:textId="77777777" w:rsidR="00126BFC" w:rsidRPr="00126BFC" w:rsidRDefault="00126BFC" w:rsidP="00126BFC">
            <w:pPr>
              <w:spacing w:after="120" w:line="276" w:lineRule="auto"/>
              <w:rPr>
                <w:rFonts w:ascii="Arial" w:hAnsi="Arial" w:cs="Arial"/>
                <w:sz w:val="20"/>
                <w:szCs w:val="20"/>
                <w:lang w:val="es-UY"/>
              </w:rPr>
            </w:pPr>
            <w:r w:rsidRPr="00126BFC">
              <w:rPr>
                <w:rFonts w:ascii="Arial" w:hAnsi="Arial" w:cs="Arial"/>
                <w:b/>
                <w:bCs/>
                <w:sz w:val="20"/>
                <w:szCs w:val="20"/>
                <w:lang w:val="es-UY"/>
              </w:rPr>
              <w:t>Derechos y libertades digitales</w:t>
            </w:r>
          </w:p>
          <w:p w14:paraId="349DB6C1" w14:textId="30A83EB5" w:rsidR="00006A76" w:rsidRPr="00126BFC" w:rsidRDefault="00126BFC" w:rsidP="00EC3C5F">
            <w:pPr>
              <w:spacing w:after="120" w:line="276" w:lineRule="auto"/>
              <w:rPr>
                <w:rFonts w:ascii="Arial" w:hAnsi="Arial" w:cs="Arial"/>
                <w:sz w:val="20"/>
                <w:szCs w:val="20"/>
                <w:lang w:val="es-UY"/>
              </w:rPr>
            </w:pPr>
            <w:r w:rsidRPr="00126BFC">
              <w:rPr>
                <w:rFonts w:ascii="Arial" w:hAnsi="Arial" w:cs="Arial"/>
                <w:sz w:val="20"/>
                <w:szCs w:val="20"/>
                <w:lang w:val="es-UY"/>
              </w:rPr>
              <w:t>Los actores de la sociedad civil deben poder operar libremente en línea, accediendo y compartiendo información sin restricciones como apagones de internet, censura o vigilancia.</w:t>
            </w:r>
          </w:p>
        </w:tc>
      </w:tr>
      <w:tr w:rsidR="00006A76" w:rsidRPr="009B0F1D" w14:paraId="1466CE47" w14:textId="77777777" w:rsidTr="00EC3C5F">
        <w:tc>
          <w:tcPr>
            <w:tcW w:w="4247" w:type="dxa"/>
            <w:vMerge/>
            <w:vAlign w:val="center"/>
          </w:tcPr>
          <w:p w14:paraId="6A1B825E"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7BACDAD1" w14:textId="77777777" w:rsidR="00126BFC" w:rsidRPr="00126BFC" w:rsidRDefault="00126BFC" w:rsidP="00126BFC">
            <w:pPr>
              <w:spacing w:after="120" w:line="276" w:lineRule="auto"/>
              <w:rPr>
                <w:rFonts w:ascii="Arial" w:hAnsi="Arial" w:cs="Arial"/>
                <w:b/>
                <w:bCs/>
                <w:color w:val="1F3864" w:themeColor="accent1" w:themeShade="80"/>
                <w:sz w:val="20"/>
                <w:szCs w:val="20"/>
                <w:lang w:val="es-ES"/>
              </w:rPr>
            </w:pPr>
            <w:r w:rsidRPr="00126BFC">
              <w:rPr>
                <w:rFonts w:ascii="Arial" w:hAnsi="Arial" w:cs="Arial"/>
                <w:b/>
                <w:bCs/>
                <w:color w:val="1F3864" w:themeColor="accent1" w:themeShade="80"/>
                <w:sz w:val="20"/>
                <w:szCs w:val="20"/>
                <w:lang w:val="es-ES"/>
              </w:rPr>
              <w:t>Dimensión 6.2</w:t>
            </w:r>
          </w:p>
          <w:p w14:paraId="31538D1F" w14:textId="77777777" w:rsidR="00126BFC" w:rsidRPr="00126BFC" w:rsidRDefault="00126BFC" w:rsidP="00126BFC">
            <w:pPr>
              <w:spacing w:after="120" w:line="276" w:lineRule="auto"/>
              <w:rPr>
                <w:rFonts w:ascii="Arial" w:hAnsi="Arial" w:cs="Arial"/>
                <w:sz w:val="20"/>
                <w:szCs w:val="20"/>
                <w:lang w:val="es-UY"/>
              </w:rPr>
            </w:pPr>
            <w:r w:rsidRPr="00126BFC">
              <w:rPr>
                <w:rFonts w:ascii="Arial" w:hAnsi="Arial" w:cs="Arial"/>
                <w:b/>
                <w:bCs/>
                <w:sz w:val="20"/>
                <w:szCs w:val="20"/>
                <w:lang w:val="es-UY"/>
              </w:rPr>
              <w:t>Seguridad y privacidad digital</w:t>
            </w:r>
          </w:p>
          <w:p w14:paraId="3C654723" w14:textId="051F72F7" w:rsidR="00006A76" w:rsidRPr="00126BFC" w:rsidRDefault="00126BFC" w:rsidP="00EC3C5F">
            <w:pPr>
              <w:spacing w:after="120" w:line="276" w:lineRule="auto"/>
              <w:rPr>
                <w:rFonts w:ascii="Arial" w:hAnsi="Arial" w:cs="Arial"/>
                <w:sz w:val="20"/>
                <w:szCs w:val="20"/>
                <w:lang w:val="es-UY"/>
              </w:rPr>
            </w:pPr>
            <w:r w:rsidRPr="00126BFC">
              <w:rPr>
                <w:rFonts w:ascii="Arial" w:hAnsi="Arial" w:cs="Arial"/>
                <w:sz w:val="20"/>
                <w:szCs w:val="20"/>
                <w:lang w:val="es-UY"/>
              </w:rPr>
              <w:t xml:space="preserve">Los actores de la sociedad civil deben estar protegidos contra amenazas cibernéticas, vigilancia estatal y acoso en línea, con leyes </w:t>
            </w:r>
            <w:r w:rsidRPr="00126BFC">
              <w:rPr>
                <w:rFonts w:ascii="Arial" w:hAnsi="Arial" w:cs="Arial"/>
                <w:sz w:val="20"/>
                <w:szCs w:val="20"/>
                <w:lang w:val="es-UY"/>
              </w:rPr>
              <w:lastRenderedPageBreak/>
              <w:t>sólidas de protección de datos y mecanismos de reparación establecidos.</w:t>
            </w:r>
          </w:p>
        </w:tc>
      </w:tr>
      <w:tr w:rsidR="00006A76" w:rsidRPr="009B0F1D" w14:paraId="11655BBB" w14:textId="77777777" w:rsidTr="00EC3C5F">
        <w:tc>
          <w:tcPr>
            <w:tcW w:w="4247" w:type="dxa"/>
            <w:vMerge/>
            <w:vAlign w:val="center"/>
          </w:tcPr>
          <w:p w14:paraId="1329E3DB" w14:textId="77777777" w:rsidR="00006A76" w:rsidRPr="00AF28B3" w:rsidRDefault="00006A76" w:rsidP="00EC3C5F">
            <w:pPr>
              <w:spacing w:after="120" w:line="276" w:lineRule="auto"/>
              <w:rPr>
                <w:rFonts w:ascii="Arial" w:hAnsi="Arial" w:cs="Arial"/>
                <w:sz w:val="20"/>
                <w:szCs w:val="20"/>
                <w:lang w:val="es-ES"/>
              </w:rPr>
            </w:pPr>
          </w:p>
        </w:tc>
        <w:tc>
          <w:tcPr>
            <w:tcW w:w="4247" w:type="dxa"/>
            <w:vAlign w:val="center"/>
          </w:tcPr>
          <w:p w14:paraId="5EAA4DE6" w14:textId="77777777" w:rsidR="00126BFC" w:rsidRPr="00126BFC" w:rsidRDefault="00126BFC" w:rsidP="00126BFC">
            <w:pPr>
              <w:spacing w:after="120" w:line="276" w:lineRule="auto"/>
              <w:rPr>
                <w:rFonts w:ascii="Arial" w:hAnsi="Arial" w:cs="Arial"/>
                <w:b/>
                <w:bCs/>
                <w:color w:val="1F3864" w:themeColor="accent1" w:themeShade="80"/>
                <w:sz w:val="20"/>
                <w:szCs w:val="20"/>
                <w:lang w:val="es-ES"/>
              </w:rPr>
            </w:pPr>
            <w:r w:rsidRPr="00126BFC">
              <w:rPr>
                <w:rFonts w:ascii="Arial" w:hAnsi="Arial" w:cs="Arial"/>
                <w:b/>
                <w:bCs/>
                <w:color w:val="1F3864" w:themeColor="accent1" w:themeShade="80"/>
                <w:sz w:val="20"/>
                <w:szCs w:val="20"/>
                <w:lang w:val="es-ES"/>
              </w:rPr>
              <w:t>Dimensión 6.3</w:t>
            </w:r>
          </w:p>
          <w:p w14:paraId="467B67EA" w14:textId="77777777" w:rsidR="00126BFC" w:rsidRPr="00126BFC" w:rsidRDefault="00126BFC" w:rsidP="00126BFC">
            <w:pPr>
              <w:spacing w:after="120" w:line="276" w:lineRule="auto"/>
              <w:rPr>
                <w:rFonts w:ascii="Arial" w:hAnsi="Arial" w:cs="Arial"/>
                <w:sz w:val="20"/>
                <w:szCs w:val="20"/>
                <w:lang w:val="es-UY"/>
              </w:rPr>
            </w:pPr>
            <w:r w:rsidRPr="00126BFC">
              <w:rPr>
                <w:rFonts w:ascii="Arial" w:hAnsi="Arial" w:cs="Arial"/>
                <w:b/>
                <w:bCs/>
                <w:sz w:val="20"/>
                <w:szCs w:val="20"/>
                <w:lang w:val="es-UY"/>
              </w:rPr>
              <w:t>Accesibilidad digital</w:t>
            </w:r>
          </w:p>
          <w:p w14:paraId="4916F943" w14:textId="14FC612E" w:rsidR="00006A76" w:rsidRPr="00126BFC" w:rsidRDefault="00126BFC" w:rsidP="00EC3C5F">
            <w:pPr>
              <w:spacing w:after="120" w:line="276" w:lineRule="auto"/>
              <w:rPr>
                <w:rFonts w:ascii="Arial" w:hAnsi="Arial" w:cs="Arial"/>
                <w:sz w:val="20"/>
                <w:szCs w:val="20"/>
                <w:lang w:val="es-UY"/>
              </w:rPr>
            </w:pPr>
            <w:r w:rsidRPr="00126BFC">
              <w:rPr>
                <w:rFonts w:ascii="Arial" w:hAnsi="Arial" w:cs="Arial"/>
                <w:sz w:val="20"/>
                <w:szCs w:val="20"/>
                <w:lang w:val="es-UY"/>
              </w:rPr>
              <w:t>Los actores de la sociedad civil y el público en general deben tener acceso a tecnologías digitales y contar con las habilidades necesarias para una participación efectiva en línea.</w:t>
            </w:r>
          </w:p>
        </w:tc>
      </w:tr>
    </w:tbl>
    <w:p w14:paraId="6BC641BE" w14:textId="77777777" w:rsidR="00006A76" w:rsidRPr="009B0F1D" w:rsidRDefault="00006A76" w:rsidP="00EC3C5F">
      <w:pPr>
        <w:spacing w:after="120" w:line="276" w:lineRule="auto"/>
      </w:pPr>
    </w:p>
    <w:p w14:paraId="31679E69" w14:textId="2A40063C" w:rsidR="00710515" w:rsidRPr="009B0F1D" w:rsidRDefault="00710515" w:rsidP="00EC3C5F">
      <w:pPr>
        <w:pStyle w:val="Heading3"/>
        <w:spacing w:before="0" w:after="120" w:line="276" w:lineRule="auto"/>
      </w:pPr>
      <w:bookmarkStart w:id="8" w:name="_Toc193301986"/>
      <w:r w:rsidRPr="009B0F1D">
        <w:t xml:space="preserve">Preguntas </w:t>
      </w:r>
      <w:r w:rsidR="00AF28B3">
        <w:t>orientadoras</w:t>
      </w:r>
      <w:r w:rsidRPr="009B0F1D">
        <w:t xml:space="preserve"> para el </w:t>
      </w:r>
      <w:r w:rsidR="00AF28B3">
        <w:t>p</w:t>
      </w:r>
      <w:r w:rsidRPr="009B0F1D">
        <w:t>anel</w:t>
      </w:r>
      <w:bookmarkEnd w:id="8"/>
    </w:p>
    <w:p w14:paraId="6F34DFA8" w14:textId="1F48E8C5" w:rsidR="00710515" w:rsidRPr="00710515" w:rsidRDefault="00710515" w:rsidP="00EC3C5F">
      <w:pPr>
        <w:numPr>
          <w:ilvl w:val="0"/>
          <w:numId w:val="19"/>
        </w:numPr>
        <w:spacing w:after="120" w:line="276" w:lineRule="auto"/>
        <w:rPr>
          <w:rFonts w:ascii="Arial" w:hAnsi="Arial" w:cs="Arial"/>
        </w:rPr>
      </w:pPr>
      <w:r w:rsidRPr="00710515">
        <w:rPr>
          <w:rFonts w:ascii="Arial" w:hAnsi="Arial" w:cs="Arial"/>
        </w:rPr>
        <w:t xml:space="preserve">Estas preguntas </w:t>
      </w:r>
      <w:r w:rsidR="00AF28B3">
        <w:rPr>
          <w:rFonts w:ascii="Arial" w:hAnsi="Arial" w:cs="Arial"/>
          <w:b/>
          <w:bCs/>
        </w:rPr>
        <w:t>orientan</w:t>
      </w:r>
      <w:r w:rsidRPr="00710515">
        <w:rPr>
          <w:rFonts w:ascii="Arial" w:hAnsi="Arial" w:cs="Arial"/>
        </w:rPr>
        <w:t xml:space="preserve"> la discusión, pero no es necesario responderlas de manera exhaustiva.</w:t>
      </w:r>
    </w:p>
    <w:p w14:paraId="5D831710" w14:textId="66397291" w:rsidR="00710515" w:rsidRPr="00710515" w:rsidRDefault="00710515" w:rsidP="00EC3C5F">
      <w:pPr>
        <w:numPr>
          <w:ilvl w:val="0"/>
          <w:numId w:val="19"/>
        </w:numPr>
        <w:spacing w:after="120" w:line="276" w:lineRule="auto"/>
        <w:rPr>
          <w:rFonts w:ascii="Arial" w:hAnsi="Arial" w:cs="Arial"/>
        </w:rPr>
      </w:pPr>
      <w:r w:rsidRPr="00710515">
        <w:rPr>
          <w:rFonts w:ascii="Arial" w:hAnsi="Arial" w:cs="Arial"/>
        </w:rPr>
        <w:t xml:space="preserve">Las </w:t>
      </w:r>
      <w:r w:rsidRPr="00710515">
        <w:rPr>
          <w:rFonts w:ascii="Arial" w:hAnsi="Arial" w:cs="Arial"/>
          <w:b/>
          <w:bCs/>
        </w:rPr>
        <w:t>referencias de puntuación</w:t>
      </w:r>
      <w:r w:rsidRPr="00710515">
        <w:rPr>
          <w:rFonts w:ascii="Arial" w:hAnsi="Arial" w:cs="Arial"/>
        </w:rPr>
        <w:t xml:space="preserve"> sirven como </w:t>
      </w:r>
      <w:r w:rsidR="006013E5">
        <w:rPr>
          <w:rFonts w:ascii="Arial" w:hAnsi="Arial" w:cs="Arial"/>
          <w:b/>
          <w:bCs/>
        </w:rPr>
        <w:t>orientación</w:t>
      </w:r>
      <w:r w:rsidRPr="00710515">
        <w:rPr>
          <w:rFonts w:ascii="Arial" w:hAnsi="Arial" w:cs="Arial"/>
        </w:rPr>
        <w:t xml:space="preserve">: ayudan a decidir las puntuaciones, pero ninguna definición se </w:t>
      </w:r>
      <w:r w:rsidRPr="00710515">
        <w:rPr>
          <w:rFonts w:ascii="Arial" w:hAnsi="Arial" w:cs="Arial"/>
          <w:b/>
          <w:bCs/>
        </w:rPr>
        <w:t>ajustará perfectamente</w:t>
      </w:r>
      <w:r w:rsidRPr="00710515">
        <w:rPr>
          <w:rFonts w:ascii="Arial" w:hAnsi="Arial" w:cs="Arial"/>
        </w:rPr>
        <w:t xml:space="preserve"> al contexto específico de un país. Úselas como </w:t>
      </w:r>
      <w:r w:rsidRPr="00710515">
        <w:rPr>
          <w:rFonts w:ascii="Arial" w:hAnsi="Arial" w:cs="Arial"/>
          <w:b/>
          <w:bCs/>
        </w:rPr>
        <w:t>punto de referencia</w:t>
      </w:r>
      <w:r w:rsidRPr="00710515">
        <w:rPr>
          <w:rFonts w:ascii="Arial" w:hAnsi="Arial" w:cs="Arial"/>
        </w:rPr>
        <w:t>.</w:t>
      </w:r>
    </w:p>
    <w:p w14:paraId="09189AE1" w14:textId="5D3CB1BC" w:rsidR="00710515" w:rsidRPr="00710515" w:rsidRDefault="00710515" w:rsidP="00EC3C5F">
      <w:pPr>
        <w:spacing w:after="120" w:line="276" w:lineRule="auto"/>
        <w:rPr>
          <w:rFonts w:ascii="Arial" w:hAnsi="Arial" w:cs="Arial"/>
        </w:rPr>
      </w:pPr>
    </w:p>
    <w:p w14:paraId="0FFA69F5" w14:textId="18331F54" w:rsidR="00710515" w:rsidRPr="00710515" w:rsidRDefault="00710515" w:rsidP="00EC3C5F">
      <w:pPr>
        <w:spacing w:after="120" w:line="276" w:lineRule="auto"/>
        <w:rPr>
          <w:rFonts w:ascii="Arial" w:hAnsi="Arial" w:cs="Arial"/>
          <w:b/>
          <w:bCs/>
          <w:color w:val="1F3864" w:themeColor="accent1" w:themeShade="80"/>
        </w:rPr>
      </w:pPr>
      <w:r w:rsidRPr="00710515">
        <w:rPr>
          <w:rFonts w:ascii="Arial" w:hAnsi="Arial" w:cs="Arial"/>
          <w:b/>
          <w:bCs/>
          <w:color w:val="1F3864" w:themeColor="accent1" w:themeShade="80"/>
        </w:rPr>
        <w:t xml:space="preserve">Preguntas </w:t>
      </w:r>
      <w:r w:rsidR="006013E5">
        <w:rPr>
          <w:rFonts w:ascii="Arial" w:hAnsi="Arial" w:cs="Arial"/>
          <w:b/>
          <w:bCs/>
          <w:color w:val="1F3864" w:themeColor="accent1" w:themeShade="80"/>
        </w:rPr>
        <w:t>orientadoras</w:t>
      </w:r>
      <w:r w:rsidRPr="00710515">
        <w:rPr>
          <w:rFonts w:ascii="Arial" w:hAnsi="Arial" w:cs="Arial"/>
          <w:b/>
          <w:bCs/>
          <w:color w:val="1F3864" w:themeColor="accent1" w:themeShade="80"/>
        </w:rPr>
        <w:t xml:space="preserve"> para el Principio 2: </w:t>
      </w:r>
      <w:r w:rsidRPr="00710515">
        <w:rPr>
          <w:rFonts w:ascii="Arial" w:hAnsi="Arial" w:cs="Arial"/>
          <w:color w:val="1F3864" w:themeColor="accent1" w:themeShade="80"/>
        </w:rPr>
        <w:t xml:space="preserve">Marco legal y normativo </w:t>
      </w:r>
      <w:r w:rsidRPr="009B0F1D">
        <w:rPr>
          <w:rFonts w:ascii="Arial" w:hAnsi="Arial" w:cs="Arial"/>
          <w:color w:val="1F3864" w:themeColor="accent1" w:themeShade="80"/>
        </w:rPr>
        <w:t>que favorece</w:t>
      </w:r>
      <w:r w:rsidRPr="00710515">
        <w:rPr>
          <w:rFonts w:ascii="Arial" w:hAnsi="Arial" w:cs="Arial"/>
          <w:color w:val="1F3864" w:themeColor="accent1" w:themeShade="80"/>
        </w:rPr>
        <w:t xml:space="preserve"> la asociación</w:t>
      </w:r>
    </w:p>
    <w:p w14:paraId="14BF82AB" w14:textId="77777777" w:rsidR="00710515" w:rsidRPr="00710515" w:rsidRDefault="00710515" w:rsidP="00EC3C5F">
      <w:pPr>
        <w:spacing w:after="120" w:line="276" w:lineRule="auto"/>
        <w:rPr>
          <w:rFonts w:ascii="Arial" w:hAnsi="Arial" w:cs="Arial"/>
        </w:rPr>
      </w:pPr>
      <w:r w:rsidRPr="00710515">
        <w:rPr>
          <w:rFonts w:ascii="Segoe UI Emoji" w:hAnsi="Segoe UI Emoji" w:cs="Segoe UI Emoji"/>
        </w:rPr>
        <w:t>❕</w:t>
      </w:r>
      <w:r w:rsidRPr="00710515">
        <w:rPr>
          <w:rFonts w:ascii="Arial" w:hAnsi="Arial" w:cs="Arial"/>
        </w:rPr>
        <w:t xml:space="preserve"> El </w:t>
      </w:r>
      <w:r w:rsidRPr="00710515">
        <w:rPr>
          <w:rFonts w:ascii="Arial" w:hAnsi="Arial" w:cs="Arial"/>
          <w:b/>
          <w:bCs/>
        </w:rPr>
        <w:t>Principio 2</w:t>
      </w:r>
      <w:r w:rsidRPr="00710515">
        <w:rPr>
          <w:rFonts w:ascii="Arial" w:hAnsi="Arial" w:cs="Arial"/>
        </w:rPr>
        <w:t xml:space="preserve"> se centra únicamente en lo que está legalmente permitido o restringido, en lugar de </w:t>
      </w:r>
      <w:proofErr w:type="spellStart"/>
      <w:r w:rsidRPr="00710515">
        <w:rPr>
          <w:rFonts w:ascii="Arial" w:hAnsi="Arial" w:cs="Arial"/>
        </w:rPr>
        <w:t>cómo</w:t>
      </w:r>
      <w:proofErr w:type="spellEnd"/>
      <w:r w:rsidRPr="00710515">
        <w:rPr>
          <w:rFonts w:ascii="Arial" w:hAnsi="Arial" w:cs="Arial"/>
        </w:rPr>
        <w:t xml:space="preserve"> se respeta y protege la libertad de asociación en la práctica (abordado en el </w:t>
      </w:r>
      <w:r w:rsidRPr="00710515">
        <w:rPr>
          <w:rFonts w:ascii="Arial" w:hAnsi="Arial" w:cs="Arial"/>
          <w:b/>
          <w:bCs/>
        </w:rPr>
        <w:t>Principio 1</w:t>
      </w:r>
      <w:r w:rsidRPr="00710515">
        <w:rPr>
          <w:rFonts w:ascii="Arial" w:hAnsi="Arial" w:cs="Arial"/>
        </w:rPr>
        <w:t xml:space="preserve">) o el acceso a financiamiento (tratado en el </w:t>
      </w:r>
      <w:r w:rsidRPr="00710515">
        <w:rPr>
          <w:rFonts w:ascii="Arial" w:hAnsi="Arial" w:cs="Arial"/>
          <w:b/>
          <w:bCs/>
        </w:rPr>
        <w:t>Principio 3</w:t>
      </w:r>
      <w:r w:rsidRPr="00710515">
        <w:rPr>
          <w:rFonts w:ascii="Arial" w:hAnsi="Arial" w:cs="Arial"/>
        </w:rPr>
        <w:t>).</w:t>
      </w:r>
    </w:p>
    <w:p w14:paraId="1204A979" w14:textId="237606F2" w:rsidR="00710515" w:rsidRPr="00710515" w:rsidRDefault="00710515" w:rsidP="00EC3C5F">
      <w:pPr>
        <w:spacing w:after="120" w:line="276" w:lineRule="auto"/>
        <w:rPr>
          <w:rFonts w:ascii="Arial" w:hAnsi="Arial" w:cs="Arial"/>
        </w:rPr>
      </w:pPr>
      <w:r w:rsidRPr="00710515">
        <w:rPr>
          <w:rFonts w:ascii="Segoe UI Emoji" w:hAnsi="Segoe UI Emoji" w:cs="Segoe UI Emoji"/>
        </w:rPr>
        <w:t>❕</w:t>
      </w:r>
      <w:r w:rsidRPr="00710515">
        <w:rPr>
          <w:rFonts w:ascii="Arial" w:hAnsi="Arial" w:cs="Arial"/>
        </w:rPr>
        <w:t xml:space="preserve"> Dado este enfoque legal y la existencia de múltiples marcos normativos para diferentes tipos de actores de la sociedad civil, el </w:t>
      </w:r>
      <w:r w:rsidRPr="009B0F1D">
        <w:rPr>
          <w:rFonts w:ascii="Arial" w:hAnsi="Arial" w:cs="Arial"/>
        </w:rPr>
        <w:t xml:space="preserve">alcance del </w:t>
      </w:r>
      <w:r w:rsidRPr="00710515">
        <w:rPr>
          <w:rFonts w:ascii="Arial" w:hAnsi="Arial" w:cs="Arial"/>
        </w:rPr>
        <w:t xml:space="preserve">análisis se limita a las </w:t>
      </w:r>
      <w:r w:rsidRPr="00710515">
        <w:rPr>
          <w:rFonts w:ascii="Arial" w:hAnsi="Arial" w:cs="Arial"/>
          <w:b/>
          <w:bCs/>
        </w:rPr>
        <w:t>OSC</w:t>
      </w:r>
      <w:r w:rsidRPr="00710515">
        <w:rPr>
          <w:rFonts w:ascii="Arial" w:hAnsi="Arial" w:cs="Arial"/>
        </w:rPr>
        <w:t xml:space="preserve"> formales y estructuradas que operan dentro de la sociedad civil, como las ONG y organizaciones similares.</w:t>
      </w:r>
    </w:p>
    <w:p w14:paraId="57E64825" w14:textId="1B082CEA" w:rsidR="00710515" w:rsidRPr="00710515" w:rsidRDefault="00710515" w:rsidP="00EC3C5F">
      <w:pPr>
        <w:spacing w:after="120" w:line="276" w:lineRule="auto"/>
        <w:rPr>
          <w:rFonts w:ascii="Arial" w:hAnsi="Arial" w:cs="Arial"/>
        </w:rPr>
      </w:pPr>
    </w:p>
    <w:p w14:paraId="386A8E55" w14:textId="77777777" w:rsidR="00710515" w:rsidRPr="00710515" w:rsidRDefault="00710515" w:rsidP="00EC3C5F">
      <w:pPr>
        <w:spacing w:after="120" w:line="276" w:lineRule="auto"/>
        <w:rPr>
          <w:rFonts w:ascii="Arial" w:hAnsi="Arial" w:cs="Arial"/>
          <w:b/>
          <w:bCs/>
        </w:rPr>
      </w:pPr>
      <w:r w:rsidRPr="00710515">
        <w:rPr>
          <w:rFonts w:ascii="Arial" w:hAnsi="Arial" w:cs="Arial"/>
          <w:b/>
          <w:bCs/>
        </w:rPr>
        <w:t>2.1 | Registro</w:t>
      </w:r>
    </w:p>
    <w:p w14:paraId="6AE31304" w14:textId="77777777" w:rsidR="00710515" w:rsidRPr="00710515" w:rsidRDefault="00710515" w:rsidP="00EC3C5F">
      <w:pPr>
        <w:spacing w:after="120" w:line="276" w:lineRule="auto"/>
        <w:rPr>
          <w:rFonts w:ascii="Arial" w:hAnsi="Arial" w:cs="Arial"/>
        </w:rPr>
      </w:pPr>
      <w:r w:rsidRPr="00710515">
        <w:rPr>
          <w:rFonts w:ascii="Arial" w:hAnsi="Arial" w:cs="Arial"/>
          <w:b/>
          <w:bCs/>
        </w:rPr>
        <w:t>Preguntas:</w:t>
      </w:r>
    </w:p>
    <w:p w14:paraId="245D6CE0" w14:textId="77777777" w:rsidR="00710515" w:rsidRPr="00710515" w:rsidRDefault="00710515" w:rsidP="00EC3C5F">
      <w:pPr>
        <w:numPr>
          <w:ilvl w:val="0"/>
          <w:numId w:val="20"/>
        </w:numPr>
        <w:spacing w:after="120" w:line="276" w:lineRule="auto"/>
        <w:rPr>
          <w:rFonts w:ascii="Arial" w:hAnsi="Arial" w:cs="Arial"/>
        </w:rPr>
      </w:pPr>
      <w:r w:rsidRPr="00710515">
        <w:rPr>
          <w:rFonts w:ascii="Arial" w:hAnsi="Arial" w:cs="Arial"/>
        </w:rPr>
        <w:t>¿En qué medida el marco legal permite que cualquier persona o entidad, incluidos los grupos marginados, establezca una organización? ¿Existen barreras legales o administrativas que dificulten el registro de ciertos grupos?</w:t>
      </w:r>
    </w:p>
    <w:p w14:paraId="2F26A0EC" w14:textId="77777777" w:rsidR="00710515" w:rsidRPr="00710515" w:rsidRDefault="00710515" w:rsidP="00EC3C5F">
      <w:pPr>
        <w:numPr>
          <w:ilvl w:val="0"/>
          <w:numId w:val="20"/>
        </w:numPr>
        <w:spacing w:after="120" w:line="276" w:lineRule="auto"/>
        <w:rPr>
          <w:rFonts w:ascii="Arial" w:hAnsi="Arial" w:cs="Arial"/>
        </w:rPr>
      </w:pPr>
      <w:r w:rsidRPr="00710515">
        <w:rPr>
          <w:rFonts w:ascii="Arial" w:hAnsi="Arial" w:cs="Arial"/>
        </w:rPr>
        <w:t>¿Qué tan claros, accesibles y asequibles son los procedimientos legales para registrar una OSC? ¿Enfrentan las OSC obstáculos burocráticos o financieros que desincentiven el registro?</w:t>
      </w:r>
    </w:p>
    <w:p w14:paraId="77F84583" w14:textId="77777777" w:rsidR="00710515" w:rsidRPr="00710515" w:rsidRDefault="00710515" w:rsidP="00EC3C5F">
      <w:pPr>
        <w:numPr>
          <w:ilvl w:val="0"/>
          <w:numId w:val="20"/>
        </w:numPr>
        <w:spacing w:after="120" w:line="276" w:lineRule="auto"/>
        <w:rPr>
          <w:rFonts w:ascii="Arial" w:hAnsi="Arial" w:cs="Arial"/>
        </w:rPr>
      </w:pPr>
      <w:r w:rsidRPr="00710515">
        <w:rPr>
          <w:rFonts w:ascii="Arial" w:hAnsi="Arial" w:cs="Arial"/>
        </w:rPr>
        <w:t>Si se deniega el registro de una OSC, ¿existen mecanismos de apelación? ¿Qué tan transparente y efectivo es el proceso de apelación?</w:t>
      </w:r>
    </w:p>
    <w:p w14:paraId="0A8FB33F" w14:textId="77777777" w:rsidR="00710515" w:rsidRPr="00710515" w:rsidRDefault="00710515" w:rsidP="00EC3C5F">
      <w:pPr>
        <w:spacing w:after="120" w:line="276" w:lineRule="auto"/>
        <w:rPr>
          <w:rFonts w:ascii="Arial" w:hAnsi="Arial" w:cs="Arial"/>
        </w:rPr>
      </w:pPr>
      <w:r w:rsidRPr="00710515">
        <w:rPr>
          <w:rFonts w:ascii="Arial" w:hAnsi="Arial" w:cs="Arial"/>
          <w:b/>
          <w:bCs/>
        </w:rPr>
        <w:t>Referencia de puntuación:</w:t>
      </w:r>
    </w:p>
    <w:tbl>
      <w:tblPr>
        <w:tblStyle w:val="TableGrid"/>
        <w:tblW w:w="0" w:type="auto"/>
        <w:tblLook w:val="04A0" w:firstRow="1" w:lastRow="0" w:firstColumn="1" w:lastColumn="0" w:noHBand="0" w:noVBand="1"/>
      </w:tblPr>
      <w:tblGrid>
        <w:gridCol w:w="1830"/>
        <w:gridCol w:w="6664"/>
      </w:tblGrid>
      <w:tr w:rsidR="00710515" w:rsidRPr="00710515" w14:paraId="320B9CAC" w14:textId="77777777" w:rsidTr="00710515">
        <w:tc>
          <w:tcPr>
            <w:tcW w:w="0" w:type="auto"/>
            <w:hideMark/>
          </w:tcPr>
          <w:p w14:paraId="45DC26B8" w14:textId="77777777" w:rsidR="00710515" w:rsidRPr="00710515" w:rsidRDefault="00710515" w:rsidP="00EC3C5F">
            <w:pPr>
              <w:spacing w:after="120" w:line="276" w:lineRule="auto"/>
              <w:rPr>
                <w:rFonts w:ascii="Arial" w:hAnsi="Arial" w:cs="Arial"/>
                <w:b/>
                <w:bCs/>
                <w:lang w:val="es-ES"/>
              </w:rPr>
            </w:pPr>
            <w:r w:rsidRPr="00710515">
              <w:rPr>
                <w:rFonts w:ascii="Arial" w:hAnsi="Arial" w:cs="Arial"/>
                <w:b/>
                <w:bCs/>
                <w:lang w:val="es-ES"/>
              </w:rPr>
              <w:lastRenderedPageBreak/>
              <w:t>Puntuación</w:t>
            </w:r>
          </w:p>
        </w:tc>
        <w:tc>
          <w:tcPr>
            <w:tcW w:w="0" w:type="auto"/>
            <w:hideMark/>
          </w:tcPr>
          <w:p w14:paraId="29C6287A" w14:textId="77777777" w:rsidR="00710515" w:rsidRPr="00710515" w:rsidRDefault="00710515" w:rsidP="00EC3C5F">
            <w:pPr>
              <w:spacing w:after="120" w:line="276" w:lineRule="auto"/>
              <w:rPr>
                <w:rFonts w:ascii="Arial" w:hAnsi="Arial" w:cs="Arial"/>
                <w:b/>
                <w:bCs/>
                <w:lang w:val="es-ES"/>
              </w:rPr>
            </w:pPr>
            <w:r w:rsidRPr="00710515">
              <w:rPr>
                <w:rFonts w:ascii="Arial" w:hAnsi="Arial" w:cs="Arial"/>
                <w:b/>
                <w:bCs/>
                <w:lang w:val="es-ES"/>
              </w:rPr>
              <w:t>Descripción</w:t>
            </w:r>
          </w:p>
        </w:tc>
      </w:tr>
      <w:tr w:rsidR="00710515" w:rsidRPr="00710515" w14:paraId="477A31E8" w14:textId="77777777" w:rsidTr="00710515">
        <w:tc>
          <w:tcPr>
            <w:tcW w:w="0" w:type="auto"/>
            <w:hideMark/>
          </w:tcPr>
          <w:p w14:paraId="02864FD9" w14:textId="39021F90"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 xml:space="preserve">Totalmente </w:t>
            </w:r>
            <w:r w:rsidR="00B20246" w:rsidRPr="009B0F1D">
              <w:rPr>
                <w:rFonts w:ascii="Arial" w:hAnsi="Arial" w:cs="Arial"/>
                <w:b/>
                <w:bCs/>
                <w:lang w:val="es-ES"/>
              </w:rPr>
              <w:t>inhibidor</w:t>
            </w:r>
            <w:r w:rsidRPr="00710515">
              <w:rPr>
                <w:rFonts w:ascii="Arial" w:hAnsi="Arial" w:cs="Arial"/>
                <w:b/>
                <w:bCs/>
                <w:lang w:val="es-ES"/>
              </w:rPr>
              <w:t xml:space="preserve"> (1)</w:t>
            </w:r>
          </w:p>
        </w:tc>
        <w:tc>
          <w:tcPr>
            <w:tcW w:w="0" w:type="auto"/>
            <w:hideMark/>
          </w:tcPr>
          <w:p w14:paraId="75B1F7BE" w14:textId="3FB5FF49" w:rsidR="00710515" w:rsidRPr="00710515" w:rsidRDefault="00710515" w:rsidP="00EC3C5F">
            <w:pPr>
              <w:spacing w:after="120" w:line="276" w:lineRule="auto"/>
              <w:rPr>
                <w:rFonts w:ascii="Arial" w:hAnsi="Arial" w:cs="Arial"/>
                <w:lang w:val="es-ES"/>
              </w:rPr>
            </w:pPr>
            <w:r w:rsidRPr="00710515">
              <w:rPr>
                <w:rFonts w:ascii="Arial" w:hAnsi="Arial" w:cs="Arial"/>
                <w:lang w:val="es-ES"/>
              </w:rPr>
              <w:t xml:space="preserve">El marco legal impide efectivamente la formación de OSC, ya sea prohibiéndolas directamente o imponiendo requisitos excesivamente restrictivos o inalcanzables. </w:t>
            </w:r>
            <w:r w:rsidR="00B20246" w:rsidRPr="009B0F1D">
              <w:rPr>
                <w:rFonts w:ascii="Arial" w:hAnsi="Arial" w:cs="Arial"/>
                <w:lang w:val="es-ES"/>
              </w:rPr>
              <w:t xml:space="preserve">Las OSC solo pueden registrarse si están alineadas con los intereses del gobierno. </w:t>
            </w:r>
            <w:r w:rsidRPr="00710515">
              <w:rPr>
                <w:rFonts w:ascii="Arial" w:hAnsi="Arial" w:cs="Arial"/>
                <w:lang w:val="es-ES"/>
              </w:rPr>
              <w:t>Los procedimientos de registro son altamente complejos. No existen mecanismos de apelación efectivos, y las decisiones negativas son comunes y carecen de justificación.</w:t>
            </w:r>
          </w:p>
        </w:tc>
      </w:tr>
      <w:tr w:rsidR="00710515" w:rsidRPr="00710515" w14:paraId="3EA540C6" w14:textId="77777777" w:rsidTr="00710515">
        <w:tc>
          <w:tcPr>
            <w:tcW w:w="0" w:type="auto"/>
            <w:hideMark/>
          </w:tcPr>
          <w:p w14:paraId="35D961D5" w14:textId="3569104D" w:rsidR="00710515" w:rsidRPr="00710515" w:rsidRDefault="00B20246" w:rsidP="00EC3C5F">
            <w:pPr>
              <w:spacing w:after="120" w:line="276" w:lineRule="auto"/>
              <w:rPr>
                <w:rFonts w:ascii="Arial" w:hAnsi="Arial" w:cs="Arial"/>
                <w:lang w:val="es-ES"/>
              </w:rPr>
            </w:pPr>
            <w:r w:rsidRPr="009B0F1D">
              <w:rPr>
                <w:rFonts w:ascii="Arial" w:hAnsi="Arial" w:cs="Arial"/>
                <w:b/>
                <w:bCs/>
                <w:lang w:val="es-ES"/>
              </w:rPr>
              <w:t>Inhibidor</w:t>
            </w:r>
            <w:r w:rsidR="00710515" w:rsidRPr="00710515">
              <w:rPr>
                <w:rFonts w:ascii="Arial" w:hAnsi="Arial" w:cs="Arial"/>
                <w:b/>
                <w:bCs/>
                <w:lang w:val="es-ES"/>
              </w:rPr>
              <w:t xml:space="preserve"> (2)</w:t>
            </w:r>
          </w:p>
        </w:tc>
        <w:tc>
          <w:tcPr>
            <w:tcW w:w="0" w:type="auto"/>
            <w:hideMark/>
          </w:tcPr>
          <w:p w14:paraId="6F8AE5F8" w14:textId="77777777" w:rsidR="00710515" w:rsidRPr="00710515" w:rsidRDefault="00710515" w:rsidP="00EC3C5F">
            <w:pPr>
              <w:spacing w:after="120" w:line="276" w:lineRule="auto"/>
              <w:rPr>
                <w:rFonts w:ascii="Arial" w:hAnsi="Arial" w:cs="Arial"/>
                <w:lang w:val="es-ES"/>
              </w:rPr>
            </w:pPr>
            <w:r w:rsidRPr="00710515">
              <w:rPr>
                <w:rFonts w:ascii="Arial" w:hAnsi="Arial" w:cs="Arial"/>
                <w:lang w:val="es-ES"/>
              </w:rPr>
              <w:t>El marco legal permite la formación de OSC, pero impone barreras significativas. El registro es poco claro, altamente burocrático, costoso o requiere aprobación estatal, que puede ser denegada arbitrariamente. Los mecanismos de apelación existen teóricamente, pero rara vez tienen éxito.</w:t>
            </w:r>
          </w:p>
        </w:tc>
      </w:tr>
      <w:tr w:rsidR="00710515" w:rsidRPr="00710515" w14:paraId="6D1EE632" w14:textId="77777777" w:rsidTr="00710515">
        <w:tc>
          <w:tcPr>
            <w:tcW w:w="0" w:type="auto"/>
            <w:hideMark/>
          </w:tcPr>
          <w:p w14:paraId="64B2B223" w14:textId="77777777"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hideMark/>
          </w:tcPr>
          <w:p w14:paraId="3668CA1F" w14:textId="5506E60C" w:rsidR="00710515" w:rsidRPr="00710515" w:rsidRDefault="00710515" w:rsidP="00EC3C5F">
            <w:pPr>
              <w:spacing w:after="120" w:line="276" w:lineRule="auto"/>
              <w:rPr>
                <w:rFonts w:ascii="Arial" w:hAnsi="Arial" w:cs="Arial"/>
                <w:lang w:val="es-ES"/>
              </w:rPr>
            </w:pPr>
            <w:r w:rsidRPr="00710515">
              <w:rPr>
                <w:rFonts w:ascii="Arial" w:hAnsi="Arial" w:cs="Arial"/>
                <w:lang w:val="es-ES"/>
              </w:rPr>
              <w:t xml:space="preserve">Algunos grupos (por ejemplo, aquellos que trabajan en temas políticamente sensibles o comunidades marginadas) enfrentan barreras legales adicionales. El proceso de registro es relativamente claro, pero </w:t>
            </w:r>
            <w:r w:rsidR="00B20246" w:rsidRPr="009B0F1D">
              <w:rPr>
                <w:rFonts w:ascii="Arial" w:hAnsi="Arial" w:cs="Arial"/>
                <w:lang w:val="es-ES"/>
              </w:rPr>
              <w:t>los requisitos burocráticos complejos</w:t>
            </w:r>
            <w:r w:rsidRPr="00710515">
              <w:rPr>
                <w:rFonts w:ascii="Arial" w:hAnsi="Arial" w:cs="Arial"/>
                <w:lang w:val="es-ES"/>
              </w:rPr>
              <w:t xml:space="preserve"> y los </w:t>
            </w:r>
            <w:r w:rsidR="00B20246" w:rsidRPr="009B0F1D">
              <w:rPr>
                <w:rFonts w:ascii="Arial" w:hAnsi="Arial" w:cs="Arial"/>
                <w:lang w:val="es-ES"/>
              </w:rPr>
              <w:t xml:space="preserve">altos </w:t>
            </w:r>
            <w:r w:rsidRPr="00710515">
              <w:rPr>
                <w:rFonts w:ascii="Arial" w:hAnsi="Arial" w:cs="Arial"/>
                <w:lang w:val="es-ES"/>
              </w:rPr>
              <w:t xml:space="preserve">costos lo </w:t>
            </w:r>
            <w:r w:rsidR="00B20246" w:rsidRPr="009B0F1D">
              <w:rPr>
                <w:rFonts w:ascii="Arial" w:hAnsi="Arial" w:cs="Arial"/>
                <w:lang w:val="es-ES"/>
              </w:rPr>
              <w:t xml:space="preserve">dificultan. </w:t>
            </w:r>
            <w:r w:rsidRPr="00710515">
              <w:rPr>
                <w:rFonts w:ascii="Arial" w:hAnsi="Arial" w:cs="Arial"/>
                <w:lang w:val="es-ES"/>
              </w:rPr>
              <w:t>Los mecanismos de apelación existen, pero son lentos, inconsistentes o rara vez tienen éxito.</w:t>
            </w:r>
          </w:p>
        </w:tc>
      </w:tr>
      <w:tr w:rsidR="00710515" w:rsidRPr="00710515" w14:paraId="385CFEA3" w14:textId="77777777" w:rsidTr="00710515">
        <w:tc>
          <w:tcPr>
            <w:tcW w:w="0" w:type="auto"/>
            <w:hideMark/>
          </w:tcPr>
          <w:p w14:paraId="5571EB52" w14:textId="77777777"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hideMark/>
          </w:tcPr>
          <w:p w14:paraId="0E5D9D02" w14:textId="4EFB85E6" w:rsidR="00710515" w:rsidRPr="00710515" w:rsidRDefault="00710515" w:rsidP="00EC3C5F">
            <w:pPr>
              <w:spacing w:after="120" w:line="276" w:lineRule="auto"/>
              <w:rPr>
                <w:rFonts w:ascii="Arial" w:hAnsi="Arial" w:cs="Arial"/>
                <w:lang w:val="es-ES"/>
              </w:rPr>
            </w:pPr>
            <w:r w:rsidRPr="00710515">
              <w:rPr>
                <w:rFonts w:ascii="Arial" w:hAnsi="Arial" w:cs="Arial"/>
                <w:lang w:val="es-ES"/>
              </w:rPr>
              <w:t>La mayoría de los grupos pueden registrarse, aunque algunos grupos marginados enfrentan obstáculos administrativos menores</w:t>
            </w:r>
            <w:r w:rsidR="00B20246" w:rsidRPr="009B0F1D">
              <w:rPr>
                <w:rFonts w:ascii="Arial" w:hAnsi="Arial" w:cs="Arial"/>
                <w:lang w:val="es-ES"/>
              </w:rPr>
              <w:t>, como aprobaciones adicionales y retrasos en los procedimientos</w:t>
            </w:r>
            <w:r w:rsidRPr="00710515">
              <w:rPr>
                <w:rFonts w:ascii="Arial" w:hAnsi="Arial" w:cs="Arial"/>
                <w:lang w:val="es-ES"/>
              </w:rPr>
              <w:t xml:space="preserve">. El registro es generalmente accesible y asequible, aunque pueden existir ineficiencias burocráticas que causen retrasos. </w:t>
            </w:r>
            <w:r w:rsidR="00B20246" w:rsidRPr="009B0F1D">
              <w:rPr>
                <w:rFonts w:ascii="Arial" w:hAnsi="Arial" w:cs="Arial"/>
                <w:lang w:val="es-ES"/>
              </w:rPr>
              <w:t xml:space="preserve">Los procesos de registro son claros, asequibles y normalmente se pueden completar dentro de un plazo de tiempo razonable. </w:t>
            </w:r>
            <w:r w:rsidRPr="00710515">
              <w:rPr>
                <w:rFonts w:ascii="Arial" w:hAnsi="Arial" w:cs="Arial"/>
                <w:lang w:val="es-ES"/>
              </w:rPr>
              <w:t>Los procesos de apelación son accesibles y generalmente justos.</w:t>
            </w:r>
          </w:p>
        </w:tc>
      </w:tr>
      <w:tr w:rsidR="00710515" w:rsidRPr="00710515" w14:paraId="5402DD06" w14:textId="77777777" w:rsidTr="00710515">
        <w:tc>
          <w:tcPr>
            <w:tcW w:w="0" w:type="auto"/>
            <w:hideMark/>
          </w:tcPr>
          <w:p w14:paraId="62A193CC" w14:textId="77777777"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hideMark/>
          </w:tcPr>
          <w:p w14:paraId="6BAFD81E" w14:textId="77777777" w:rsidR="00710515" w:rsidRPr="00710515" w:rsidRDefault="00710515" w:rsidP="00EC3C5F">
            <w:pPr>
              <w:spacing w:after="120" w:line="276" w:lineRule="auto"/>
              <w:rPr>
                <w:rFonts w:ascii="Arial" w:hAnsi="Arial" w:cs="Arial"/>
                <w:lang w:val="es-ES"/>
              </w:rPr>
            </w:pPr>
            <w:r w:rsidRPr="00710515">
              <w:rPr>
                <w:rFonts w:ascii="Arial" w:hAnsi="Arial" w:cs="Arial"/>
                <w:lang w:val="es-ES"/>
              </w:rPr>
              <w:t>La ley permite que cualquier individuo o grupo, incluidos los grupos políticamente sensibles y comunidades marginadas, registre una OSC sin discriminación. Los procedimientos de registro son claros, simples y asequibles. Las decisiones negativas son raras, y el proceso de apelación es eficiente, justo y rápido.</w:t>
            </w:r>
          </w:p>
        </w:tc>
      </w:tr>
    </w:tbl>
    <w:p w14:paraId="0CE61F33" w14:textId="224CBAF9" w:rsidR="00710515" w:rsidRPr="00710515" w:rsidRDefault="00710515" w:rsidP="00EC3C5F">
      <w:pPr>
        <w:spacing w:after="120" w:line="276" w:lineRule="auto"/>
        <w:rPr>
          <w:rFonts w:ascii="Arial" w:hAnsi="Arial" w:cs="Arial"/>
        </w:rPr>
      </w:pPr>
    </w:p>
    <w:p w14:paraId="7347B034" w14:textId="77777777" w:rsidR="00710515" w:rsidRPr="00710515" w:rsidRDefault="00710515" w:rsidP="00EC3C5F">
      <w:pPr>
        <w:spacing w:after="120" w:line="276" w:lineRule="auto"/>
        <w:rPr>
          <w:rFonts w:ascii="Arial" w:hAnsi="Arial" w:cs="Arial"/>
          <w:b/>
          <w:bCs/>
        </w:rPr>
      </w:pPr>
      <w:r w:rsidRPr="00710515">
        <w:rPr>
          <w:rFonts w:ascii="Arial" w:hAnsi="Arial" w:cs="Arial"/>
          <w:b/>
          <w:bCs/>
        </w:rPr>
        <w:t>2.2 | Entorno Operativo</w:t>
      </w:r>
    </w:p>
    <w:p w14:paraId="203FC270" w14:textId="77777777" w:rsidR="00710515" w:rsidRPr="00710515" w:rsidRDefault="00710515" w:rsidP="00EC3C5F">
      <w:pPr>
        <w:spacing w:after="120" w:line="276" w:lineRule="auto"/>
        <w:rPr>
          <w:rFonts w:ascii="Arial" w:hAnsi="Arial" w:cs="Arial"/>
        </w:rPr>
      </w:pPr>
      <w:r w:rsidRPr="00710515">
        <w:rPr>
          <w:rFonts w:ascii="Arial" w:hAnsi="Arial" w:cs="Arial"/>
          <w:b/>
          <w:bCs/>
        </w:rPr>
        <w:t>Preguntas:</w:t>
      </w:r>
    </w:p>
    <w:p w14:paraId="49130CCB" w14:textId="77777777" w:rsidR="00710515" w:rsidRPr="00710515" w:rsidRDefault="00710515" w:rsidP="00EC3C5F">
      <w:pPr>
        <w:numPr>
          <w:ilvl w:val="0"/>
          <w:numId w:val="21"/>
        </w:numPr>
        <w:spacing w:after="120" w:line="276" w:lineRule="auto"/>
        <w:rPr>
          <w:rFonts w:ascii="Arial" w:hAnsi="Arial" w:cs="Arial"/>
        </w:rPr>
      </w:pPr>
      <w:r w:rsidRPr="00710515">
        <w:rPr>
          <w:rFonts w:ascii="Arial" w:hAnsi="Arial" w:cs="Arial"/>
        </w:rPr>
        <w:t>¿Permite el marco legal que las OSC determinen su gobernanza interna, objetivos y actividades sin aprobación o interferencia gubernamental? ¿Se requiere que las OSC obtengan permisos o aprobaciones previas para ciertas operaciones o actividades?</w:t>
      </w:r>
    </w:p>
    <w:p w14:paraId="7ADE93DF" w14:textId="77777777" w:rsidR="00710515" w:rsidRPr="00710515" w:rsidRDefault="00710515" w:rsidP="00EC3C5F">
      <w:pPr>
        <w:numPr>
          <w:ilvl w:val="0"/>
          <w:numId w:val="21"/>
        </w:numPr>
        <w:spacing w:after="120" w:line="276" w:lineRule="auto"/>
        <w:rPr>
          <w:rFonts w:ascii="Arial" w:hAnsi="Arial" w:cs="Arial"/>
        </w:rPr>
      </w:pPr>
      <w:r w:rsidRPr="00710515">
        <w:rPr>
          <w:rFonts w:ascii="Arial" w:hAnsi="Arial" w:cs="Arial"/>
        </w:rPr>
        <w:t>¿Cuánto control administrativo enfrentan las OSC? ¿Los requisitos de presentación de informes crean obstáculos innecesarios para sus operaciones?</w:t>
      </w:r>
    </w:p>
    <w:p w14:paraId="47DBC0D5" w14:textId="77777777" w:rsidR="00710515" w:rsidRPr="00710515" w:rsidRDefault="00710515" w:rsidP="00EC3C5F">
      <w:pPr>
        <w:numPr>
          <w:ilvl w:val="0"/>
          <w:numId w:val="21"/>
        </w:numPr>
        <w:spacing w:after="120" w:line="276" w:lineRule="auto"/>
        <w:rPr>
          <w:rFonts w:ascii="Arial" w:hAnsi="Arial" w:cs="Arial"/>
        </w:rPr>
      </w:pPr>
      <w:r w:rsidRPr="00710515">
        <w:rPr>
          <w:rFonts w:ascii="Arial" w:hAnsi="Arial" w:cs="Arial"/>
        </w:rPr>
        <w:lastRenderedPageBreak/>
        <w:t>¿Cómo regula el marco legal el acceso al financiamiento para las OSC? ¿Existen restricciones para recibir fondos nacionales e internacionales que puedan limitar su capacidad de operación?</w:t>
      </w:r>
    </w:p>
    <w:p w14:paraId="548177BB" w14:textId="77777777" w:rsidR="00710515" w:rsidRPr="00710515" w:rsidRDefault="00710515" w:rsidP="00EC3C5F">
      <w:pPr>
        <w:spacing w:after="120" w:line="276" w:lineRule="auto"/>
        <w:rPr>
          <w:rFonts w:ascii="Arial" w:hAnsi="Arial" w:cs="Arial"/>
        </w:rPr>
      </w:pPr>
      <w:r w:rsidRPr="00710515">
        <w:rPr>
          <w:rFonts w:ascii="Arial" w:hAnsi="Arial" w:cs="Arial"/>
          <w:b/>
          <w:bCs/>
        </w:rPr>
        <w:t>Referencia de puntuación:</w:t>
      </w:r>
    </w:p>
    <w:tbl>
      <w:tblPr>
        <w:tblStyle w:val="TableGrid"/>
        <w:tblW w:w="0" w:type="auto"/>
        <w:tblLook w:val="04A0" w:firstRow="1" w:lastRow="0" w:firstColumn="1" w:lastColumn="0" w:noHBand="0" w:noVBand="1"/>
      </w:tblPr>
      <w:tblGrid>
        <w:gridCol w:w="1828"/>
        <w:gridCol w:w="6666"/>
      </w:tblGrid>
      <w:tr w:rsidR="00710515" w:rsidRPr="00710515" w14:paraId="48483132" w14:textId="77777777" w:rsidTr="00B20246">
        <w:tc>
          <w:tcPr>
            <w:tcW w:w="0" w:type="auto"/>
            <w:hideMark/>
          </w:tcPr>
          <w:p w14:paraId="05DB1E4C" w14:textId="77777777" w:rsidR="00710515" w:rsidRPr="00710515" w:rsidRDefault="00710515"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42260986" w14:textId="77777777" w:rsidR="00710515" w:rsidRPr="00710515" w:rsidRDefault="00710515" w:rsidP="00EC3C5F">
            <w:pPr>
              <w:spacing w:after="120" w:line="276" w:lineRule="auto"/>
              <w:rPr>
                <w:rFonts w:ascii="Arial" w:hAnsi="Arial" w:cs="Arial"/>
                <w:b/>
                <w:bCs/>
                <w:lang w:val="es-ES"/>
              </w:rPr>
            </w:pPr>
            <w:r w:rsidRPr="00710515">
              <w:rPr>
                <w:rFonts w:ascii="Arial" w:hAnsi="Arial" w:cs="Arial"/>
                <w:b/>
                <w:bCs/>
                <w:lang w:val="es-ES"/>
              </w:rPr>
              <w:t>Descripción</w:t>
            </w:r>
          </w:p>
        </w:tc>
      </w:tr>
      <w:tr w:rsidR="00710515" w:rsidRPr="00710515" w14:paraId="74376EE9" w14:textId="77777777" w:rsidTr="00B20246">
        <w:tc>
          <w:tcPr>
            <w:tcW w:w="0" w:type="auto"/>
            <w:hideMark/>
          </w:tcPr>
          <w:p w14:paraId="14942B00" w14:textId="0632ED0E"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 xml:space="preserve">Totalmente </w:t>
            </w:r>
            <w:r w:rsidR="00B20246" w:rsidRPr="009B0F1D">
              <w:rPr>
                <w:rFonts w:ascii="Arial" w:hAnsi="Arial" w:cs="Arial"/>
                <w:b/>
                <w:bCs/>
                <w:lang w:val="es-ES"/>
              </w:rPr>
              <w:t>inhibidor</w:t>
            </w:r>
            <w:r w:rsidRPr="00710515">
              <w:rPr>
                <w:rFonts w:ascii="Arial" w:hAnsi="Arial" w:cs="Arial"/>
                <w:b/>
                <w:bCs/>
                <w:lang w:val="es-ES"/>
              </w:rPr>
              <w:t xml:space="preserve"> (1)</w:t>
            </w:r>
          </w:p>
        </w:tc>
        <w:tc>
          <w:tcPr>
            <w:tcW w:w="0" w:type="auto"/>
            <w:hideMark/>
          </w:tcPr>
          <w:p w14:paraId="13425EB1" w14:textId="0D0AA8CA" w:rsidR="00710515" w:rsidRPr="00710515" w:rsidRDefault="00710515" w:rsidP="00EC3C5F">
            <w:pPr>
              <w:spacing w:after="120" w:line="276" w:lineRule="auto"/>
              <w:rPr>
                <w:rFonts w:ascii="Arial" w:hAnsi="Arial" w:cs="Arial"/>
                <w:lang w:val="es-ES"/>
              </w:rPr>
            </w:pPr>
            <w:r w:rsidRPr="00710515">
              <w:rPr>
                <w:rFonts w:ascii="Arial" w:hAnsi="Arial" w:cs="Arial"/>
                <w:lang w:val="es-ES"/>
              </w:rPr>
              <w:t xml:space="preserve">Las leyes </w:t>
            </w:r>
            <w:r w:rsidR="00B20246" w:rsidRPr="009B0F1D">
              <w:rPr>
                <w:rFonts w:ascii="Arial" w:hAnsi="Arial" w:cs="Arial"/>
                <w:lang w:val="es-ES"/>
              </w:rPr>
              <w:t xml:space="preserve">y normas </w:t>
            </w:r>
            <w:r w:rsidRPr="00710515">
              <w:rPr>
                <w:rFonts w:ascii="Arial" w:hAnsi="Arial" w:cs="Arial"/>
                <w:lang w:val="es-ES"/>
              </w:rPr>
              <w:t xml:space="preserve">restringen severamente a las OSC para definir sus objetivos o realizar actividades legítimas. Se requiere aprobación previa para sus operaciones y enfrentan restricciones arbitrarias. </w:t>
            </w:r>
            <w:r w:rsidR="00B20246" w:rsidRPr="009B0F1D">
              <w:rPr>
                <w:rFonts w:ascii="Arial" w:hAnsi="Arial" w:cs="Arial"/>
                <w:lang w:val="es-ES"/>
              </w:rPr>
              <w:t xml:space="preserve">Las OSC se enfrentan a requisitos excesivos y poco claros para presentar reportes, además de </w:t>
            </w:r>
            <w:proofErr w:type="gramStart"/>
            <w:r w:rsidR="00AE0BA0" w:rsidRPr="009B0F1D">
              <w:rPr>
                <w:rFonts w:ascii="Arial" w:hAnsi="Arial" w:cs="Arial"/>
                <w:lang w:val="es-ES"/>
              </w:rPr>
              <w:t>obstáculos  burocráticos</w:t>
            </w:r>
            <w:proofErr w:type="gramEnd"/>
            <w:r w:rsidR="00AE0BA0" w:rsidRPr="009B0F1D">
              <w:rPr>
                <w:rFonts w:ascii="Arial" w:hAnsi="Arial" w:cs="Arial"/>
                <w:lang w:val="es-ES"/>
              </w:rPr>
              <w:t xml:space="preserve">. </w:t>
            </w:r>
            <w:r w:rsidRPr="00710515">
              <w:rPr>
                <w:rFonts w:ascii="Arial" w:hAnsi="Arial" w:cs="Arial"/>
                <w:lang w:val="es-ES"/>
              </w:rPr>
              <w:t>Hay importantes limitaciones para acceder a financiamiento nacional e internacional, lo que obstaculiza gravemente sus actividades.</w:t>
            </w:r>
          </w:p>
        </w:tc>
      </w:tr>
      <w:tr w:rsidR="00710515" w:rsidRPr="00710515" w14:paraId="3D51DB72" w14:textId="77777777" w:rsidTr="00B20246">
        <w:tc>
          <w:tcPr>
            <w:tcW w:w="0" w:type="auto"/>
            <w:hideMark/>
          </w:tcPr>
          <w:p w14:paraId="0DA6CCD8" w14:textId="33270A27" w:rsidR="00710515" w:rsidRPr="00710515" w:rsidRDefault="00B20246" w:rsidP="00EC3C5F">
            <w:pPr>
              <w:spacing w:after="120" w:line="276" w:lineRule="auto"/>
              <w:rPr>
                <w:rFonts w:ascii="Arial" w:hAnsi="Arial" w:cs="Arial"/>
                <w:lang w:val="es-ES"/>
              </w:rPr>
            </w:pPr>
            <w:r w:rsidRPr="009B0F1D">
              <w:rPr>
                <w:rFonts w:ascii="Arial" w:hAnsi="Arial" w:cs="Arial"/>
                <w:b/>
                <w:bCs/>
                <w:lang w:val="es-ES"/>
              </w:rPr>
              <w:t>Inhibidor</w:t>
            </w:r>
            <w:r w:rsidR="00710515" w:rsidRPr="00710515">
              <w:rPr>
                <w:rFonts w:ascii="Arial" w:hAnsi="Arial" w:cs="Arial"/>
                <w:b/>
                <w:bCs/>
                <w:lang w:val="es-ES"/>
              </w:rPr>
              <w:t xml:space="preserve"> (2)</w:t>
            </w:r>
          </w:p>
        </w:tc>
        <w:tc>
          <w:tcPr>
            <w:tcW w:w="0" w:type="auto"/>
            <w:hideMark/>
          </w:tcPr>
          <w:p w14:paraId="530D3908" w14:textId="37041A82" w:rsidR="00AE0BA0" w:rsidRPr="00710515" w:rsidRDefault="00710515" w:rsidP="00EC3C5F">
            <w:pPr>
              <w:spacing w:after="120" w:line="276" w:lineRule="auto"/>
              <w:rPr>
                <w:rFonts w:ascii="Arial" w:hAnsi="Arial" w:cs="Arial"/>
                <w:lang w:val="es-ES"/>
              </w:rPr>
            </w:pPr>
            <w:r w:rsidRPr="00710515">
              <w:rPr>
                <w:rFonts w:ascii="Arial" w:hAnsi="Arial" w:cs="Arial"/>
                <w:lang w:val="es-ES"/>
              </w:rPr>
              <w:t xml:space="preserve">Las leyes imponen limitaciones significativas para que las OSC establezcan sus objetivos y realicen actividades. </w:t>
            </w:r>
            <w:r w:rsidR="00AE0BA0" w:rsidRPr="009B0F1D">
              <w:rPr>
                <w:rFonts w:ascii="Arial" w:hAnsi="Arial" w:cs="Arial"/>
                <w:lang w:val="es-ES"/>
              </w:rPr>
              <w:t xml:space="preserve">Las OSC a menudo necesitan aprobación previa para ciertas actividades o enfrentan sanciones por incumplimiento. </w:t>
            </w:r>
            <w:r w:rsidRPr="00710515">
              <w:rPr>
                <w:rFonts w:ascii="Arial" w:hAnsi="Arial" w:cs="Arial"/>
                <w:lang w:val="es-ES"/>
              </w:rPr>
              <w:t xml:space="preserve">El estado aplica una supervisión burocrática considerable que retrasa o dificulta las actividades. </w:t>
            </w:r>
            <w:r w:rsidR="00AE0BA0" w:rsidRPr="009B0F1D">
              <w:rPr>
                <w:rFonts w:ascii="Arial" w:hAnsi="Arial" w:cs="Arial"/>
                <w:lang w:val="es-ES"/>
              </w:rPr>
              <w:t>Existen restricciones a la financiación que limitan la capacidad de las OSC para acceder a recursos financieros nacionales e internacionales, en particular de fuentes que pueden considerarse política o ideológicamente sensibles.</w:t>
            </w:r>
          </w:p>
        </w:tc>
      </w:tr>
      <w:tr w:rsidR="00710515" w:rsidRPr="00710515" w14:paraId="77CFB1E0" w14:textId="77777777" w:rsidTr="00B20246">
        <w:tc>
          <w:tcPr>
            <w:tcW w:w="0" w:type="auto"/>
            <w:hideMark/>
          </w:tcPr>
          <w:p w14:paraId="085C81B4" w14:textId="77777777"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hideMark/>
          </w:tcPr>
          <w:p w14:paraId="5FE88F56" w14:textId="77777777" w:rsidR="00710515" w:rsidRPr="00710515" w:rsidRDefault="00710515" w:rsidP="00EC3C5F">
            <w:pPr>
              <w:spacing w:after="120" w:line="276" w:lineRule="auto"/>
              <w:rPr>
                <w:rFonts w:ascii="Arial" w:hAnsi="Arial" w:cs="Arial"/>
                <w:lang w:val="es-ES"/>
              </w:rPr>
            </w:pPr>
            <w:r w:rsidRPr="00710515">
              <w:rPr>
                <w:rFonts w:ascii="Arial" w:hAnsi="Arial" w:cs="Arial"/>
                <w:lang w:val="es-ES"/>
              </w:rPr>
              <w:t>Las leyes permiten que las OSC definan sus objetivos y realicen actividades, pero con algunas limitaciones. Pueden operar con relativa facilidad, aunque deben cumplir con requisitos regulatorios que crean obstáculos ocasionales. El acceso a financiamiento es posible, pero se aplican ciertas restricciones.</w:t>
            </w:r>
          </w:p>
        </w:tc>
      </w:tr>
      <w:tr w:rsidR="00710515" w:rsidRPr="00710515" w14:paraId="5B4858B1" w14:textId="77777777" w:rsidTr="00B20246">
        <w:tc>
          <w:tcPr>
            <w:tcW w:w="0" w:type="auto"/>
            <w:hideMark/>
          </w:tcPr>
          <w:p w14:paraId="75E7E432" w14:textId="77777777"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hideMark/>
          </w:tcPr>
          <w:p w14:paraId="5C2A3BE3" w14:textId="560677C2" w:rsidR="00710515" w:rsidRPr="00710515" w:rsidRDefault="00710515" w:rsidP="00EC3C5F">
            <w:pPr>
              <w:spacing w:after="120" w:line="276" w:lineRule="auto"/>
              <w:rPr>
                <w:rFonts w:ascii="Arial" w:hAnsi="Arial" w:cs="Arial"/>
                <w:lang w:val="es-ES"/>
              </w:rPr>
            </w:pPr>
            <w:r w:rsidRPr="00710515">
              <w:rPr>
                <w:rFonts w:ascii="Arial" w:hAnsi="Arial" w:cs="Arial"/>
                <w:lang w:val="es-ES"/>
              </w:rPr>
              <w:t>Las leyes apoyan en general a las OSC para definir sus objetivos y realizar actividades con una supervisión mínima. Los requisitos de informes son razonables y proporcionales</w:t>
            </w:r>
            <w:r w:rsidR="00AE0BA0" w:rsidRPr="009B0F1D">
              <w:rPr>
                <w:rFonts w:ascii="Arial" w:hAnsi="Arial" w:cs="Arial"/>
                <w:lang w:val="es-ES"/>
              </w:rPr>
              <w:t xml:space="preserve"> al tamaño y alcance de las OSC</w:t>
            </w:r>
            <w:r w:rsidRPr="00710515">
              <w:rPr>
                <w:rFonts w:ascii="Arial" w:hAnsi="Arial" w:cs="Arial"/>
                <w:lang w:val="es-ES"/>
              </w:rPr>
              <w:t xml:space="preserve">. </w:t>
            </w:r>
            <w:r w:rsidR="00AE0BA0" w:rsidRPr="009B0F1D">
              <w:rPr>
                <w:rFonts w:ascii="Arial" w:hAnsi="Arial" w:cs="Arial"/>
                <w:lang w:val="es-ES"/>
              </w:rPr>
              <w:t xml:space="preserve">La supervisión administrativa es clara, predecible y no crea barreras significativas. </w:t>
            </w:r>
            <w:r w:rsidRPr="00710515">
              <w:rPr>
                <w:rFonts w:ascii="Arial" w:hAnsi="Arial" w:cs="Arial"/>
                <w:lang w:val="es-ES"/>
              </w:rPr>
              <w:t>El acceso al financiamiento, tanto nacional como internacional, es relativamente fácil.</w:t>
            </w:r>
          </w:p>
        </w:tc>
      </w:tr>
      <w:tr w:rsidR="00710515" w:rsidRPr="00710515" w14:paraId="6F954CF1" w14:textId="77777777" w:rsidTr="00B20246">
        <w:tc>
          <w:tcPr>
            <w:tcW w:w="0" w:type="auto"/>
            <w:hideMark/>
          </w:tcPr>
          <w:p w14:paraId="017F675B" w14:textId="77777777" w:rsidR="00710515" w:rsidRPr="00710515" w:rsidRDefault="00710515"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hideMark/>
          </w:tcPr>
          <w:p w14:paraId="0FACB480" w14:textId="7A171EB6" w:rsidR="00710515" w:rsidRPr="00710515" w:rsidRDefault="00710515" w:rsidP="00EC3C5F">
            <w:pPr>
              <w:spacing w:after="120" w:line="276" w:lineRule="auto"/>
              <w:rPr>
                <w:rFonts w:ascii="Arial" w:hAnsi="Arial" w:cs="Arial"/>
                <w:lang w:val="es-ES"/>
              </w:rPr>
            </w:pPr>
            <w:r w:rsidRPr="00710515">
              <w:rPr>
                <w:rFonts w:ascii="Arial" w:hAnsi="Arial" w:cs="Arial"/>
                <w:lang w:val="es-ES"/>
              </w:rPr>
              <w:t>Las leyes permiten plenamente que las OSC definan su gobernanza interna, objetivos y actividades sin interferencias o restricciones. No se requiere aprobación gubernamental</w:t>
            </w:r>
            <w:r w:rsidR="00AE0BA0" w:rsidRPr="009B0F1D">
              <w:rPr>
                <w:rFonts w:ascii="Arial" w:hAnsi="Arial" w:cs="Arial"/>
                <w:lang w:val="es-ES"/>
              </w:rPr>
              <w:t xml:space="preserve"> para las actividades operativas o la gobernanza</w:t>
            </w:r>
            <w:r w:rsidRPr="00710515">
              <w:rPr>
                <w:rFonts w:ascii="Arial" w:hAnsi="Arial" w:cs="Arial"/>
                <w:lang w:val="es-ES"/>
              </w:rPr>
              <w:t xml:space="preserve">. </w:t>
            </w:r>
            <w:r w:rsidR="00AE0BA0" w:rsidRPr="009B0F1D">
              <w:rPr>
                <w:rFonts w:ascii="Arial" w:hAnsi="Arial" w:cs="Arial"/>
                <w:lang w:val="es-ES"/>
              </w:rPr>
              <w:t xml:space="preserve">Las OSC no enfrentan ninguna supervisión administrativa indebida. </w:t>
            </w:r>
            <w:r w:rsidRPr="00710515">
              <w:rPr>
                <w:rFonts w:ascii="Arial" w:hAnsi="Arial" w:cs="Arial"/>
                <w:lang w:val="es-ES"/>
              </w:rPr>
              <w:t>Los requisitos de informes, si existen, son claros y sencillos. No hay barreras legales para acceder a financiamiento nacional o internacional.</w:t>
            </w:r>
          </w:p>
        </w:tc>
      </w:tr>
    </w:tbl>
    <w:p w14:paraId="474073B0" w14:textId="77777777" w:rsidR="005830B4" w:rsidRPr="009B0F1D" w:rsidRDefault="005830B4" w:rsidP="00EC3C5F">
      <w:pPr>
        <w:spacing w:after="120" w:line="276" w:lineRule="auto"/>
        <w:rPr>
          <w:rFonts w:ascii="Arial" w:hAnsi="Arial" w:cs="Arial"/>
        </w:rPr>
      </w:pPr>
    </w:p>
    <w:p w14:paraId="41D0D301" w14:textId="77777777" w:rsidR="00AE0BA0" w:rsidRPr="00AE0BA0" w:rsidRDefault="00AE0BA0" w:rsidP="00EC3C5F">
      <w:pPr>
        <w:spacing w:after="120" w:line="276" w:lineRule="auto"/>
        <w:rPr>
          <w:rFonts w:ascii="Arial" w:hAnsi="Arial" w:cs="Arial"/>
          <w:b/>
          <w:bCs/>
        </w:rPr>
      </w:pPr>
      <w:r w:rsidRPr="00AE0BA0">
        <w:rPr>
          <w:rFonts w:ascii="Arial" w:hAnsi="Arial" w:cs="Arial"/>
          <w:b/>
          <w:bCs/>
        </w:rPr>
        <w:t>3.3 | Protección contra la interferencia</w:t>
      </w:r>
    </w:p>
    <w:p w14:paraId="033B9B38" w14:textId="77777777" w:rsidR="00AE0BA0" w:rsidRPr="00AE0BA0" w:rsidRDefault="00AE0BA0" w:rsidP="00EC3C5F">
      <w:pPr>
        <w:spacing w:after="120" w:line="276" w:lineRule="auto"/>
        <w:rPr>
          <w:rFonts w:ascii="Arial" w:hAnsi="Arial" w:cs="Arial"/>
        </w:rPr>
      </w:pPr>
      <w:r w:rsidRPr="00AE0BA0">
        <w:rPr>
          <w:rFonts w:ascii="Arial" w:hAnsi="Arial" w:cs="Arial"/>
          <w:b/>
          <w:bCs/>
        </w:rPr>
        <w:t>Preguntas:</w:t>
      </w:r>
    </w:p>
    <w:p w14:paraId="20BE5C42" w14:textId="77777777" w:rsidR="00AE0BA0" w:rsidRPr="00AE0BA0" w:rsidRDefault="00AE0BA0" w:rsidP="00EC3C5F">
      <w:pPr>
        <w:numPr>
          <w:ilvl w:val="0"/>
          <w:numId w:val="22"/>
        </w:numPr>
        <w:spacing w:after="120" w:line="276" w:lineRule="auto"/>
        <w:rPr>
          <w:rFonts w:ascii="Arial" w:hAnsi="Arial" w:cs="Arial"/>
        </w:rPr>
      </w:pPr>
      <w:r w:rsidRPr="00AE0BA0">
        <w:rPr>
          <w:rFonts w:ascii="Arial" w:hAnsi="Arial" w:cs="Arial"/>
        </w:rPr>
        <w:lastRenderedPageBreak/>
        <w:t>¿El marco legal ofrece protecciones claras contra la disolución arbitraria de las OSC? ¿Los motivos de disolución están definidos explícitamente en la ley, y existen mecanismos legales para que las OSC impugnen decisiones políticamente motivadas o injustificadas?</w:t>
      </w:r>
    </w:p>
    <w:p w14:paraId="41E60A33" w14:textId="77777777" w:rsidR="00AE0BA0" w:rsidRPr="00AE0BA0" w:rsidRDefault="00AE0BA0" w:rsidP="00EC3C5F">
      <w:pPr>
        <w:numPr>
          <w:ilvl w:val="0"/>
          <w:numId w:val="22"/>
        </w:numPr>
        <w:spacing w:after="120" w:line="276" w:lineRule="auto"/>
        <w:rPr>
          <w:rFonts w:ascii="Arial" w:hAnsi="Arial" w:cs="Arial"/>
        </w:rPr>
      </w:pPr>
      <w:r w:rsidRPr="00AE0BA0">
        <w:rPr>
          <w:rFonts w:ascii="Arial" w:hAnsi="Arial" w:cs="Arial"/>
        </w:rPr>
        <w:t>¿Qué disposiciones legales protegen a las OSC de la interferencia estatal o de terceros?</w:t>
      </w:r>
    </w:p>
    <w:p w14:paraId="3122162D" w14:textId="77777777" w:rsidR="00AE0BA0" w:rsidRPr="00AE0BA0" w:rsidRDefault="00AE0BA0" w:rsidP="00EC3C5F">
      <w:pPr>
        <w:numPr>
          <w:ilvl w:val="0"/>
          <w:numId w:val="22"/>
        </w:numPr>
        <w:spacing w:after="120" w:line="276" w:lineRule="auto"/>
        <w:rPr>
          <w:rFonts w:ascii="Arial" w:hAnsi="Arial" w:cs="Arial"/>
        </w:rPr>
      </w:pPr>
      <w:r w:rsidRPr="00AE0BA0">
        <w:rPr>
          <w:rFonts w:ascii="Arial" w:hAnsi="Arial" w:cs="Arial"/>
        </w:rPr>
        <w:t>¿Cómo regula la ley las inspecciones e intervenciones estatales para garantizar que no generen cargas indebidas, restrinjan las operaciones o sirvan como herramientas de control o vigilancia?</w:t>
      </w:r>
    </w:p>
    <w:p w14:paraId="03B9996A" w14:textId="77777777" w:rsidR="00AE0BA0" w:rsidRPr="009B0F1D" w:rsidRDefault="00AE0BA0" w:rsidP="00EC3C5F">
      <w:pPr>
        <w:spacing w:after="120" w:line="276" w:lineRule="auto"/>
        <w:rPr>
          <w:rFonts w:ascii="Arial" w:hAnsi="Arial" w:cs="Arial"/>
          <w:b/>
          <w:bCs/>
        </w:rPr>
      </w:pPr>
      <w:r w:rsidRPr="00AE0BA0">
        <w:rPr>
          <w:rFonts w:ascii="Arial" w:hAnsi="Arial" w:cs="Arial"/>
          <w:b/>
          <w:bCs/>
        </w:rPr>
        <w:t>Referencia de puntuación:</w:t>
      </w:r>
    </w:p>
    <w:tbl>
      <w:tblPr>
        <w:tblStyle w:val="TableGrid"/>
        <w:tblW w:w="0" w:type="auto"/>
        <w:tblLook w:val="04A0" w:firstRow="1" w:lastRow="0" w:firstColumn="1" w:lastColumn="0" w:noHBand="0" w:noVBand="1"/>
      </w:tblPr>
      <w:tblGrid>
        <w:gridCol w:w="1907"/>
        <w:gridCol w:w="6587"/>
      </w:tblGrid>
      <w:tr w:rsidR="00AE0BA0" w:rsidRPr="00710515" w14:paraId="1A0F87D1" w14:textId="77777777" w:rsidTr="001F02C0">
        <w:tc>
          <w:tcPr>
            <w:tcW w:w="0" w:type="auto"/>
            <w:hideMark/>
          </w:tcPr>
          <w:p w14:paraId="224DA7F1" w14:textId="77777777" w:rsidR="00AE0BA0" w:rsidRPr="00710515" w:rsidRDefault="00AE0BA0"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18308FF6" w14:textId="77777777" w:rsidR="00AE0BA0" w:rsidRPr="00710515" w:rsidRDefault="00AE0BA0" w:rsidP="00EC3C5F">
            <w:pPr>
              <w:spacing w:after="120" w:line="276" w:lineRule="auto"/>
              <w:rPr>
                <w:rFonts w:ascii="Arial" w:hAnsi="Arial" w:cs="Arial"/>
                <w:b/>
                <w:bCs/>
                <w:lang w:val="es-ES"/>
              </w:rPr>
            </w:pPr>
            <w:r w:rsidRPr="00710515">
              <w:rPr>
                <w:rFonts w:ascii="Arial" w:hAnsi="Arial" w:cs="Arial"/>
                <w:b/>
                <w:bCs/>
                <w:lang w:val="es-ES"/>
              </w:rPr>
              <w:t>Descripción</w:t>
            </w:r>
          </w:p>
        </w:tc>
      </w:tr>
      <w:tr w:rsidR="00AE0BA0" w:rsidRPr="00710515" w14:paraId="71502990" w14:textId="77777777" w:rsidTr="00AE0BA0">
        <w:tc>
          <w:tcPr>
            <w:tcW w:w="0" w:type="auto"/>
            <w:hideMark/>
          </w:tcPr>
          <w:p w14:paraId="60DA2049" w14:textId="77777777" w:rsidR="00AE0BA0" w:rsidRPr="00710515" w:rsidRDefault="00AE0BA0" w:rsidP="00EC3C5F">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2B1575AD" w14:textId="36309B41" w:rsidR="00AE0BA0" w:rsidRPr="00710515" w:rsidRDefault="00AE0BA0" w:rsidP="00EC3C5F">
            <w:pPr>
              <w:spacing w:after="120" w:line="276" w:lineRule="auto"/>
              <w:rPr>
                <w:rFonts w:ascii="Arial" w:hAnsi="Arial" w:cs="Arial"/>
                <w:lang w:val="es-ES"/>
              </w:rPr>
            </w:pPr>
            <w:r w:rsidRPr="00AE0BA0">
              <w:rPr>
                <w:rFonts w:ascii="Arial" w:hAnsi="Arial" w:cs="Arial"/>
                <w:lang w:val="es-ES"/>
              </w:rPr>
              <w:t>La ley no ofrece protección contra la interferencia estatal o de terceros. Las autoridades pueden disolver arbitrariamente las OSC sin justificación, y las organizaciones no están protegidas contra redadas policiales o cierres forzados.</w:t>
            </w:r>
            <w:r w:rsidRPr="00AE0BA0">
              <w:rPr>
                <w:rFonts w:ascii="Arial" w:hAnsi="Arial" w:cs="Arial"/>
                <w:lang w:val="es-ES"/>
              </w:rPr>
              <w:br/>
            </w:r>
            <w:r w:rsidRPr="00AE0BA0">
              <w:rPr>
                <w:rFonts w:ascii="Arial" w:hAnsi="Arial" w:cs="Arial"/>
                <w:i/>
                <w:iCs/>
                <w:lang w:val="es-ES"/>
              </w:rPr>
              <w:t>Ejemplo:</w:t>
            </w:r>
            <w:r w:rsidRPr="00AE0BA0">
              <w:rPr>
                <w:rFonts w:ascii="Arial" w:hAnsi="Arial" w:cs="Arial"/>
                <w:lang w:val="es-ES"/>
              </w:rPr>
              <w:t xml:space="preserve"> Un gobierno aprueba una ley que permite cerrar las OSC sin debido proceso si critican las políticas estatales.</w:t>
            </w:r>
          </w:p>
        </w:tc>
      </w:tr>
      <w:tr w:rsidR="00AE0BA0" w:rsidRPr="00710515" w14:paraId="6CFA3086" w14:textId="77777777" w:rsidTr="00AE0BA0">
        <w:tc>
          <w:tcPr>
            <w:tcW w:w="0" w:type="auto"/>
            <w:hideMark/>
          </w:tcPr>
          <w:p w14:paraId="2B57709A" w14:textId="77777777" w:rsidR="00AE0BA0" w:rsidRPr="00710515" w:rsidRDefault="00AE0BA0" w:rsidP="00EC3C5F">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54877E04" w14:textId="00E1AA2E" w:rsidR="00AE0BA0" w:rsidRPr="00710515" w:rsidRDefault="00AE0BA0" w:rsidP="00EC3C5F">
            <w:pPr>
              <w:spacing w:after="120" w:line="276" w:lineRule="auto"/>
              <w:rPr>
                <w:rFonts w:ascii="Arial" w:hAnsi="Arial" w:cs="Arial"/>
                <w:lang w:val="es-ES"/>
              </w:rPr>
            </w:pPr>
            <w:r w:rsidRPr="00AE0BA0">
              <w:rPr>
                <w:rFonts w:ascii="Arial" w:hAnsi="Arial" w:cs="Arial"/>
                <w:lang w:val="es-ES"/>
              </w:rPr>
              <w:t>El marco legal ofrece una protección mínima. Las leyes de disolución son vagas o amplias, lo que permite a las autoridades atacar a las OSC críticas. Las inspecciones son frecuentes y onerosas, y a menudo se utilizan como herramienta de acoso.</w:t>
            </w:r>
            <w:r w:rsidRPr="00AE0BA0">
              <w:rPr>
                <w:rFonts w:ascii="Arial" w:hAnsi="Arial" w:cs="Arial"/>
                <w:lang w:val="es-ES"/>
              </w:rPr>
              <w:br/>
            </w:r>
            <w:r w:rsidRPr="00AE0BA0">
              <w:rPr>
                <w:rFonts w:ascii="Arial" w:hAnsi="Arial" w:cs="Arial"/>
                <w:i/>
                <w:iCs/>
                <w:lang w:val="es-ES"/>
              </w:rPr>
              <w:t>Ejemplo:</w:t>
            </w:r>
            <w:r w:rsidRPr="00AE0BA0">
              <w:rPr>
                <w:rFonts w:ascii="Arial" w:hAnsi="Arial" w:cs="Arial"/>
                <w:lang w:val="es-ES"/>
              </w:rPr>
              <w:t xml:space="preserve"> Un país exige que todas las OSC presenten informes financieros mensuales, con riesgo de suspensión por errores menores.</w:t>
            </w:r>
          </w:p>
        </w:tc>
      </w:tr>
      <w:tr w:rsidR="00AE0BA0" w:rsidRPr="00710515" w14:paraId="2EC62A37" w14:textId="77777777" w:rsidTr="00AE0BA0">
        <w:tc>
          <w:tcPr>
            <w:tcW w:w="0" w:type="auto"/>
            <w:hideMark/>
          </w:tcPr>
          <w:p w14:paraId="5524730C" w14:textId="77777777" w:rsidR="00AE0BA0" w:rsidRPr="00710515" w:rsidRDefault="00AE0BA0"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725E82A0" w14:textId="370E9382" w:rsidR="00AE0BA0" w:rsidRPr="00710515" w:rsidRDefault="00AE0BA0" w:rsidP="00EC3C5F">
            <w:pPr>
              <w:spacing w:after="120" w:line="276" w:lineRule="auto"/>
              <w:rPr>
                <w:rFonts w:ascii="Arial" w:hAnsi="Arial" w:cs="Arial"/>
                <w:lang w:val="es-ES"/>
              </w:rPr>
            </w:pPr>
            <w:r w:rsidRPr="00AE0BA0">
              <w:rPr>
                <w:rFonts w:ascii="Arial" w:hAnsi="Arial" w:cs="Arial"/>
                <w:lang w:val="es-ES"/>
              </w:rPr>
              <w:t>Las leyes ofrecen cierta protección, pero su aplicación es inconsistente. Algunos grupos, especialmente aquellos que trabajan con poblaciones marginadas o en temas sensibles, pueden enfrentar interferencia política o un escrutinio más estricto.</w:t>
            </w:r>
          </w:p>
        </w:tc>
      </w:tr>
      <w:tr w:rsidR="00AE0BA0" w:rsidRPr="00710515" w14:paraId="6CEB95DE" w14:textId="77777777" w:rsidTr="00AE0BA0">
        <w:tc>
          <w:tcPr>
            <w:tcW w:w="0" w:type="auto"/>
            <w:hideMark/>
          </w:tcPr>
          <w:p w14:paraId="034E3DA7" w14:textId="77777777" w:rsidR="00AE0BA0" w:rsidRPr="00710515" w:rsidRDefault="00AE0BA0"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6B9FCF96" w14:textId="5B3A4A38" w:rsidR="00AE0BA0" w:rsidRPr="00710515" w:rsidRDefault="00AE0BA0" w:rsidP="00EC3C5F">
            <w:pPr>
              <w:spacing w:after="120" w:line="276" w:lineRule="auto"/>
              <w:rPr>
                <w:rFonts w:ascii="Arial" w:hAnsi="Arial" w:cs="Arial"/>
                <w:lang w:val="es-ES"/>
              </w:rPr>
            </w:pPr>
            <w:r w:rsidRPr="00AE0BA0">
              <w:rPr>
                <w:rFonts w:ascii="Arial" w:hAnsi="Arial" w:cs="Arial"/>
                <w:lang w:val="es-ES"/>
              </w:rPr>
              <w:t>La ley generalmente protege a las OSC de interferencias indebidas, aunque algunas regulaciones pueden aplicarse de manera selectiva. Las inspecciones se realizan, pero son en gran parte justas y justificadas.</w:t>
            </w:r>
          </w:p>
        </w:tc>
      </w:tr>
      <w:tr w:rsidR="00AE0BA0" w:rsidRPr="00710515" w14:paraId="3DD8EBE7" w14:textId="77777777" w:rsidTr="00AE0BA0">
        <w:tc>
          <w:tcPr>
            <w:tcW w:w="0" w:type="auto"/>
            <w:hideMark/>
          </w:tcPr>
          <w:p w14:paraId="24E15777" w14:textId="77777777" w:rsidR="00AE0BA0" w:rsidRPr="00710515" w:rsidRDefault="00AE0BA0"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73E546C5" w14:textId="16997C4D" w:rsidR="00AE0BA0" w:rsidRPr="00710515" w:rsidRDefault="00AE0BA0" w:rsidP="00EC3C5F">
            <w:pPr>
              <w:spacing w:after="120" w:line="276" w:lineRule="auto"/>
              <w:rPr>
                <w:rFonts w:ascii="Arial" w:hAnsi="Arial" w:cs="Arial"/>
                <w:lang w:val="es-ES"/>
              </w:rPr>
            </w:pPr>
            <w:r w:rsidRPr="00AE0BA0">
              <w:rPr>
                <w:rFonts w:ascii="Arial" w:hAnsi="Arial" w:cs="Arial"/>
                <w:lang w:val="es-ES"/>
              </w:rPr>
              <w:t>El marco legal protege explícitamente a las OSC contra la disolución arbitraria o la interferencia. La terminología legal es clara. Las inspecciones estatales están justificadas y se realizan con reglas objetivas y transparentes.</w:t>
            </w:r>
            <w:r w:rsidRPr="00AE0BA0">
              <w:rPr>
                <w:rFonts w:ascii="Arial" w:hAnsi="Arial" w:cs="Arial"/>
                <w:lang w:val="es-ES"/>
              </w:rPr>
              <w:br/>
            </w:r>
            <w:r w:rsidRPr="00AE0BA0">
              <w:rPr>
                <w:rFonts w:ascii="Arial" w:hAnsi="Arial" w:cs="Arial"/>
                <w:i/>
                <w:iCs/>
                <w:lang w:val="es-ES"/>
              </w:rPr>
              <w:t>Ejemplo:</w:t>
            </w:r>
            <w:r w:rsidRPr="00AE0BA0">
              <w:rPr>
                <w:rFonts w:ascii="Arial" w:hAnsi="Arial" w:cs="Arial"/>
                <w:lang w:val="es-ES"/>
              </w:rPr>
              <w:t xml:space="preserve"> La ley exige una orden judicial para cualquier disolución, asegurando que las OSC puedan impugnar decisiones injustificadas.</w:t>
            </w:r>
          </w:p>
        </w:tc>
      </w:tr>
    </w:tbl>
    <w:p w14:paraId="04D9D5E2" w14:textId="194255F7" w:rsidR="00AE0BA0" w:rsidRPr="00AE0BA0" w:rsidRDefault="00AE0BA0" w:rsidP="00EC3C5F">
      <w:pPr>
        <w:spacing w:after="120" w:line="276" w:lineRule="auto"/>
        <w:rPr>
          <w:rFonts w:ascii="Arial" w:hAnsi="Arial" w:cs="Arial"/>
        </w:rPr>
      </w:pPr>
    </w:p>
    <w:p w14:paraId="33EEF32E" w14:textId="53FBA797" w:rsidR="00AE0BA0" w:rsidRPr="00AE0BA0" w:rsidRDefault="00AE0BA0" w:rsidP="00EC3C5F">
      <w:pPr>
        <w:spacing w:after="120" w:line="276" w:lineRule="auto"/>
        <w:rPr>
          <w:rFonts w:ascii="Arial" w:hAnsi="Arial" w:cs="Arial"/>
          <w:b/>
          <w:bCs/>
          <w:color w:val="1F3864" w:themeColor="accent1" w:themeShade="80"/>
        </w:rPr>
      </w:pPr>
      <w:r w:rsidRPr="00AE0BA0">
        <w:rPr>
          <w:rFonts w:ascii="Arial" w:hAnsi="Arial" w:cs="Arial"/>
          <w:b/>
          <w:bCs/>
          <w:color w:val="1F3864" w:themeColor="accent1" w:themeShade="80"/>
        </w:rPr>
        <w:t xml:space="preserve">Preguntas </w:t>
      </w:r>
      <w:r w:rsidR="00AF28B3">
        <w:rPr>
          <w:rFonts w:ascii="Arial" w:hAnsi="Arial" w:cs="Arial"/>
          <w:b/>
          <w:bCs/>
          <w:color w:val="1F3864" w:themeColor="accent1" w:themeShade="80"/>
        </w:rPr>
        <w:t>orientadoras</w:t>
      </w:r>
      <w:r w:rsidRPr="00AE0BA0">
        <w:rPr>
          <w:rFonts w:ascii="Arial" w:hAnsi="Arial" w:cs="Arial"/>
          <w:b/>
          <w:bCs/>
          <w:color w:val="1F3864" w:themeColor="accent1" w:themeShade="80"/>
        </w:rPr>
        <w:t xml:space="preserve"> para el Principio 3: </w:t>
      </w:r>
      <w:r w:rsidRPr="00AE0BA0">
        <w:rPr>
          <w:rFonts w:ascii="Arial" w:hAnsi="Arial" w:cs="Arial"/>
          <w:color w:val="1F3864" w:themeColor="accent1" w:themeShade="80"/>
        </w:rPr>
        <w:t>Recursos accesibles y sostenibles</w:t>
      </w:r>
    </w:p>
    <w:p w14:paraId="70F3E866" w14:textId="5A60A816" w:rsidR="00AE0BA0" w:rsidRPr="00AE0BA0" w:rsidRDefault="00AE0BA0" w:rsidP="00EC3C5F">
      <w:pPr>
        <w:spacing w:after="120" w:line="276" w:lineRule="auto"/>
        <w:rPr>
          <w:rFonts w:ascii="Arial" w:hAnsi="Arial" w:cs="Arial"/>
        </w:rPr>
      </w:pPr>
      <w:r w:rsidRPr="00AE0BA0">
        <w:rPr>
          <w:rFonts w:ascii="Segoe UI Emoji" w:hAnsi="Segoe UI Emoji" w:cs="Segoe UI Emoji"/>
        </w:rPr>
        <w:lastRenderedPageBreak/>
        <w:t>❕</w:t>
      </w:r>
      <w:r w:rsidRPr="00AE0BA0">
        <w:rPr>
          <w:rFonts w:ascii="Arial" w:hAnsi="Arial" w:cs="Arial"/>
        </w:rPr>
        <w:t xml:space="preserve"> El Principio 3 abarca tanto los recursos financieros como los no financieros disponibles para los actores de la sociedad civil.</w:t>
      </w:r>
      <w:r w:rsidRPr="00AE0BA0">
        <w:rPr>
          <w:rFonts w:ascii="Arial" w:hAnsi="Arial" w:cs="Arial"/>
        </w:rPr>
        <w:br/>
      </w:r>
      <w:r w:rsidRPr="00AE0BA0">
        <w:rPr>
          <w:rFonts w:ascii="Segoe UI Emoji" w:hAnsi="Segoe UI Emoji" w:cs="Segoe UI Emoji"/>
        </w:rPr>
        <w:t>❕</w:t>
      </w:r>
      <w:r w:rsidRPr="00AE0BA0">
        <w:rPr>
          <w:rFonts w:ascii="Arial" w:hAnsi="Arial" w:cs="Arial"/>
        </w:rPr>
        <w:t xml:space="preserve"> </w:t>
      </w:r>
      <w:r w:rsidR="00313600" w:rsidRPr="009B0F1D">
        <w:rPr>
          <w:rFonts w:ascii="Arial" w:hAnsi="Arial" w:cs="Arial"/>
        </w:rPr>
        <w:t>Cuando la pregunta haga referencia a la evaluación de los recursos, es necesario tener en cuenta tanto los financieros como los no financieros. Esto incluye analizar la situación financiera, así como el acceso a capacitaciones, información, redes y otras formas de apoyo.</w:t>
      </w:r>
    </w:p>
    <w:p w14:paraId="58279633" w14:textId="491D44AF" w:rsidR="00AE0BA0" w:rsidRPr="00AE0BA0" w:rsidRDefault="00AE0BA0" w:rsidP="00EC3C5F">
      <w:pPr>
        <w:spacing w:after="120" w:line="276" w:lineRule="auto"/>
        <w:rPr>
          <w:rFonts w:ascii="Arial" w:hAnsi="Arial" w:cs="Arial"/>
        </w:rPr>
      </w:pPr>
    </w:p>
    <w:p w14:paraId="01BA1A31" w14:textId="77777777" w:rsidR="00AE0BA0" w:rsidRPr="00AE0BA0" w:rsidRDefault="00AE0BA0" w:rsidP="00EC3C5F">
      <w:pPr>
        <w:spacing w:after="120" w:line="276" w:lineRule="auto"/>
        <w:rPr>
          <w:rFonts w:ascii="Arial" w:hAnsi="Arial" w:cs="Arial"/>
          <w:b/>
          <w:bCs/>
        </w:rPr>
      </w:pPr>
      <w:r w:rsidRPr="00AE0BA0">
        <w:rPr>
          <w:rFonts w:ascii="Arial" w:hAnsi="Arial" w:cs="Arial"/>
          <w:b/>
          <w:bCs/>
        </w:rPr>
        <w:t>3.1 | Accesibilidad de los recursos</w:t>
      </w:r>
    </w:p>
    <w:p w14:paraId="5B8B8059" w14:textId="77777777" w:rsidR="00AE0BA0" w:rsidRPr="00AE0BA0" w:rsidRDefault="00AE0BA0" w:rsidP="00EC3C5F">
      <w:pPr>
        <w:spacing w:after="120" w:line="276" w:lineRule="auto"/>
        <w:rPr>
          <w:rFonts w:ascii="Arial" w:hAnsi="Arial" w:cs="Arial"/>
        </w:rPr>
      </w:pPr>
      <w:r w:rsidRPr="00AE0BA0">
        <w:rPr>
          <w:rFonts w:ascii="Arial" w:hAnsi="Arial" w:cs="Arial"/>
          <w:b/>
          <w:bCs/>
        </w:rPr>
        <w:t>Preguntas:</w:t>
      </w:r>
    </w:p>
    <w:p w14:paraId="11C7B92B" w14:textId="12230CE1" w:rsidR="00AE0BA0" w:rsidRPr="00AE0BA0" w:rsidRDefault="00AE0BA0" w:rsidP="00EC3C5F">
      <w:pPr>
        <w:numPr>
          <w:ilvl w:val="0"/>
          <w:numId w:val="24"/>
        </w:numPr>
        <w:spacing w:after="120" w:line="276" w:lineRule="auto"/>
        <w:rPr>
          <w:rFonts w:ascii="Arial" w:hAnsi="Arial" w:cs="Arial"/>
        </w:rPr>
      </w:pPr>
      <w:r w:rsidRPr="00AE0BA0">
        <w:rPr>
          <w:rFonts w:ascii="Arial" w:hAnsi="Arial" w:cs="Arial"/>
        </w:rPr>
        <w:t>¿Existen recursos disponibles para los actores de la sociedad civil, incluidos aquellos que trabajan en temas sensibles o con grupos marginados? ¿De qué manera las regulaciones o los procesos de aprobación gubernamentales influyen en el acceso a estos recursos</w:t>
      </w:r>
      <w:r w:rsidR="00313600" w:rsidRPr="009B0F1D">
        <w:rPr>
          <w:rFonts w:ascii="Arial" w:hAnsi="Arial" w:cs="Arial"/>
        </w:rPr>
        <w:t>, sobre todo para organizaciones que trabajan con temas sensibles</w:t>
      </w:r>
      <w:r w:rsidRPr="00AE0BA0">
        <w:rPr>
          <w:rFonts w:ascii="Arial" w:hAnsi="Arial" w:cs="Arial"/>
        </w:rPr>
        <w:t>?</w:t>
      </w:r>
    </w:p>
    <w:p w14:paraId="36176124" w14:textId="77777777" w:rsidR="00AE0BA0" w:rsidRPr="00AE0BA0" w:rsidRDefault="00AE0BA0" w:rsidP="00EC3C5F">
      <w:pPr>
        <w:numPr>
          <w:ilvl w:val="0"/>
          <w:numId w:val="24"/>
        </w:numPr>
        <w:spacing w:after="120" w:line="276" w:lineRule="auto"/>
        <w:rPr>
          <w:rFonts w:ascii="Arial" w:hAnsi="Arial" w:cs="Arial"/>
        </w:rPr>
      </w:pPr>
      <w:r w:rsidRPr="00AE0BA0">
        <w:rPr>
          <w:rFonts w:ascii="Arial" w:hAnsi="Arial" w:cs="Arial"/>
        </w:rPr>
        <w:t>¿Los actores de la sociedad civil tienen acceso a información sobre oportunidades de financiamiento y cuentan con la capacidad para responder a convocatorias? ¿Las propuestas de financiamiento están estructuradas de manera que faciliten la aplicación?</w:t>
      </w:r>
    </w:p>
    <w:p w14:paraId="39F67699" w14:textId="75C9B313" w:rsidR="00AE0BA0" w:rsidRPr="00AE0BA0" w:rsidRDefault="00AE0BA0" w:rsidP="00EC3C5F">
      <w:pPr>
        <w:numPr>
          <w:ilvl w:val="0"/>
          <w:numId w:val="24"/>
        </w:numPr>
        <w:spacing w:after="120" w:line="276" w:lineRule="auto"/>
        <w:rPr>
          <w:rFonts w:ascii="Arial" w:hAnsi="Arial" w:cs="Arial"/>
        </w:rPr>
      </w:pPr>
      <w:r w:rsidRPr="00AE0BA0">
        <w:rPr>
          <w:rFonts w:ascii="Arial" w:hAnsi="Arial" w:cs="Arial"/>
        </w:rPr>
        <w:t xml:space="preserve">¿Cómo impactan las políticas fiscales el financiamiento? ¿Existen mecanismos, como deducciones o exenciones fiscales, que fomenten las donaciones a las OSC? ¿Qué cargas fiscales pueden restringir </w:t>
      </w:r>
      <w:r w:rsidR="00313600" w:rsidRPr="009B0F1D">
        <w:rPr>
          <w:rFonts w:ascii="Arial" w:hAnsi="Arial" w:cs="Arial"/>
        </w:rPr>
        <w:t xml:space="preserve">el </w:t>
      </w:r>
      <w:r w:rsidRPr="00AE0BA0">
        <w:rPr>
          <w:rFonts w:ascii="Arial" w:hAnsi="Arial" w:cs="Arial"/>
        </w:rPr>
        <w:t>funcionamiento</w:t>
      </w:r>
      <w:r w:rsidR="00313600" w:rsidRPr="009B0F1D">
        <w:rPr>
          <w:rFonts w:ascii="Arial" w:hAnsi="Arial" w:cs="Arial"/>
        </w:rPr>
        <w:t xml:space="preserve"> de las OSC</w:t>
      </w:r>
      <w:r w:rsidRPr="00AE0BA0">
        <w:rPr>
          <w:rFonts w:ascii="Arial" w:hAnsi="Arial" w:cs="Arial"/>
        </w:rPr>
        <w:t>, como impuestos sobre subvenciones o doble tributación?</w:t>
      </w:r>
    </w:p>
    <w:p w14:paraId="3F30A13A" w14:textId="77777777" w:rsidR="00AE0BA0" w:rsidRDefault="00AE0BA0" w:rsidP="00EC3C5F">
      <w:pPr>
        <w:numPr>
          <w:ilvl w:val="0"/>
          <w:numId w:val="24"/>
        </w:numPr>
        <w:spacing w:after="120" w:line="276" w:lineRule="auto"/>
        <w:rPr>
          <w:rFonts w:ascii="Arial" w:hAnsi="Arial" w:cs="Arial"/>
        </w:rPr>
      </w:pPr>
      <w:r w:rsidRPr="00AE0BA0">
        <w:rPr>
          <w:rFonts w:ascii="Arial" w:hAnsi="Arial" w:cs="Arial"/>
        </w:rPr>
        <w:t>¿Qué desafíos enfrentan las OSC con los bancos y los proveedores de servicios financieros? (p. ej., restricciones para abrir cuentas, congelación de cuentas o uso indebido de información bancaria para vigilancia o intimidación).</w:t>
      </w:r>
    </w:p>
    <w:p w14:paraId="4ED1A29D" w14:textId="77777777" w:rsidR="00126BFC" w:rsidRPr="00AE0BA0" w:rsidRDefault="00126BFC" w:rsidP="00126BFC">
      <w:pPr>
        <w:spacing w:after="120" w:line="276" w:lineRule="auto"/>
        <w:ind w:left="720"/>
        <w:rPr>
          <w:rFonts w:ascii="Arial" w:hAnsi="Arial" w:cs="Arial"/>
        </w:rPr>
      </w:pPr>
    </w:p>
    <w:p w14:paraId="47A5F926" w14:textId="77777777" w:rsidR="00AE0BA0" w:rsidRPr="009B0F1D" w:rsidRDefault="00AE0BA0" w:rsidP="00EC3C5F">
      <w:pPr>
        <w:spacing w:after="120" w:line="276" w:lineRule="auto"/>
        <w:rPr>
          <w:rFonts w:ascii="Arial" w:hAnsi="Arial" w:cs="Arial"/>
          <w:b/>
          <w:bCs/>
        </w:rPr>
      </w:pPr>
      <w:r w:rsidRPr="00AE0BA0">
        <w:rPr>
          <w:rFonts w:ascii="Arial" w:hAnsi="Arial" w:cs="Arial"/>
          <w:b/>
          <w:bCs/>
        </w:rPr>
        <w:t>Referencia de puntuación:</w:t>
      </w:r>
    </w:p>
    <w:tbl>
      <w:tblPr>
        <w:tblStyle w:val="TableGrid"/>
        <w:tblW w:w="0" w:type="auto"/>
        <w:tblLook w:val="04A0" w:firstRow="1" w:lastRow="0" w:firstColumn="1" w:lastColumn="0" w:noHBand="0" w:noVBand="1"/>
      </w:tblPr>
      <w:tblGrid>
        <w:gridCol w:w="1824"/>
        <w:gridCol w:w="6670"/>
      </w:tblGrid>
      <w:tr w:rsidR="00313600" w:rsidRPr="009B0F1D" w14:paraId="23AFF406" w14:textId="77777777" w:rsidTr="001F02C0">
        <w:tc>
          <w:tcPr>
            <w:tcW w:w="0" w:type="auto"/>
            <w:hideMark/>
          </w:tcPr>
          <w:p w14:paraId="1F98A7A5" w14:textId="77777777" w:rsidR="00313600" w:rsidRPr="00710515" w:rsidRDefault="00313600"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3E642A1A" w14:textId="77777777" w:rsidR="00313600" w:rsidRPr="00710515" w:rsidRDefault="00313600" w:rsidP="00EC3C5F">
            <w:pPr>
              <w:spacing w:after="120" w:line="276" w:lineRule="auto"/>
              <w:rPr>
                <w:rFonts w:ascii="Arial" w:hAnsi="Arial" w:cs="Arial"/>
                <w:b/>
                <w:bCs/>
                <w:lang w:val="es-ES"/>
              </w:rPr>
            </w:pPr>
            <w:r w:rsidRPr="00710515">
              <w:rPr>
                <w:rFonts w:ascii="Arial" w:hAnsi="Arial" w:cs="Arial"/>
                <w:b/>
                <w:bCs/>
                <w:lang w:val="es-ES"/>
              </w:rPr>
              <w:t>Descripción</w:t>
            </w:r>
          </w:p>
        </w:tc>
      </w:tr>
      <w:tr w:rsidR="00313600" w:rsidRPr="009B0F1D" w14:paraId="3D05D623" w14:textId="77777777" w:rsidTr="001F02C0">
        <w:tc>
          <w:tcPr>
            <w:tcW w:w="0" w:type="auto"/>
            <w:hideMark/>
          </w:tcPr>
          <w:p w14:paraId="30315615" w14:textId="77777777" w:rsidR="00313600" w:rsidRPr="00710515" w:rsidRDefault="00313600" w:rsidP="00EC3C5F">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6FC03D8A" w14:textId="3FE8311B" w:rsidR="00313600" w:rsidRPr="00710515" w:rsidRDefault="00313600" w:rsidP="00EC3C5F">
            <w:pPr>
              <w:spacing w:after="120" w:line="276" w:lineRule="auto"/>
              <w:rPr>
                <w:rFonts w:ascii="Arial" w:hAnsi="Arial" w:cs="Arial"/>
                <w:lang w:val="es-ES"/>
              </w:rPr>
            </w:pPr>
            <w:r w:rsidRPr="00AE0BA0">
              <w:rPr>
                <w:rFonts w:ascii="Arial" w:hAnsi="Arial" w:cs="Arial"/>
                <w:lang w:val="es-ES"/>
              </w:rPr>
              <w:t>El financiamiento es prácticamente inexistente y los recursos disponibles son extremadamente limitados. Las OSC enfrentan barreras extremas para acceder a servicios financieros</w:t>
            </w:r>
            <w:r w:rsidRPr="009B0F1D">
              <w:rPr>
                <w:rFonts w:ascii="Arial" w:hAnsi="Arial" w:cs="Arial"/>
                <w:lang w:val="es-ES"/>
              </w:rPr>
              <w:t>, ya que los bancos se niegan a abrir cuentas de ONG o imponen restricciones sustanciales a las mismas.</w:t>
            </w:r>
            <w:r w:rsidRPr="00AE0BA0">
              <w:rPr>
                <w:rFonts w:ascii="Arial" w:hAnsi="Arial" w:cs="Arial"/>
                <w:lang w:val="es-ES"/>
              </w:rPr>
              <w:t xml:space="preserve"> La fiscalidad es excesiva y no hay incentivos fiscales para las OSC o sus donantes.</w:t>
            </w:r>
            <w:r w:rsidRPr="009B0F1D">
              <w:rPr>
                <w:lang w:val="es-ES"/>
              </w:rPr>
              <w:t xml:space="preserve"> </w:t>
            </w:r>
            <w:r w:rsidRPr="009B0F1D">
              <w:rPr>
                <w:rFonts w:ascii="Arial" w:hAnsi="Arial" w:cs="Arial"/>
                <w:lang w:val="es-ES"/>
              </w:rPr>
              <w:t>Existe un entorno hostil en el que no se brinda un apoyo significativo a la sociedad civil.</w:t>
            </w:r>
          </w:p>
        </w:tc>
      </w:tr>
      <w:tr w:rsidR="00313600" w:rsidRPr="009B0F1D" w14:paraId="54E906ED" w14:textId="77777777" w:rsidTr="001F02C0">
        <w:tc>
          <w:tcPr>
            <w:tcW w:w="0" w:type="auto"/>
            <w:hideMark/>
          </w:tcPr>
          <w:p w14:paraId="23F4D20F" w14:textId="77777777" w:rsidR="00313600" w:rsidRPr="00710515" w:rsidRDefault="00313600" w:rsidP="00EC3C5F">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022B5F05" w14:textId="4BEAE0D9" w:rsidR="00313600" w:rsidRPr="00710515" w:rsidRDefault="00313600" w:rsidP="00EC3C5F">
            <w:pPr>
              <w:spacing w:after="120" w:line="276" w:lineRule="auto"/>
              <w:rPr>
                <w:rFonts w:ascii="Arial" w:hAnsi="Arial" w:cs="Arial"/>
                <w:lang w:val="es-ES"/>
              </w:rPr>
            </w:pPr>
            <w:r w:rsidRPr="00AE0BA0">
              <w:rPr>
                <w:rFonts w:ascii="Arial" w:hAnsi="Arial" w:cs="Arial"/>
                <w:lang w:val="es-ES"/>
              </w:rPr>
              <w:t xml:space="preserve">El financiamiento es escaso y las OSC enfrentan barreras significativas para acceder a él. </w:t>
            </w:r>
            <w:r w:rsidRPr="009B0F1D">
              <w:rPr>
                <w:rFonts w:ascii="Arial" w:hAnsi="Arial" w:cs="Arial"/>
                <w:lang w:val="es-ES"/>
              </w:rPr>
              <w:t xml:space="preserve">La información sobre los fondos disponibles es limitada y los procesos de aprobación son arbitrarios, con demoras excesivas o trabas burocráticas. Las autoridades gubernamentales y las instituciones financieras </w:t>
            </w:r>
            <w:r w:rsidRPr="009B0F1D">
              <w:rPr>
                <w:rFonts w:ascii="Arial" w:hAnsi="Arial" w:cs="Arial"/>
                <w:lang w:val="es-ES"/>
              </w:rPr>
              <w:lastRenderedPageBreak/>
              <w:t xml:space="preserve">imponen medidas restrictivas. </w:t>
            </w:r>
            <w:r w:rsidRPr="00AE0BA0">
              <w:rPr>
                <w:rFonts w:ascii="Arial" w:hAnsi="Arial" w:cs="Arial"/>
                <w:lang w:val="es-ES"/>
              </w:rPr>
              <w:t>Las regulaciones fiscales ofrecen mínimas exenciones y los donantes reciben pocos o ningún incentivo.</w:t>
            </w:r>
          </w:p>
        </w:tc>
      </w:tr>
      <w:tr w:rsidR="00313600" w:rsidRPr="009B0F1D" w14:paraId="6295A860" w14:textId="77777777" w:rsidTr="001F02C0">
        <w:tc>
          <w:tcPr>
            <w:tcW w:w="0" w:type="auto"/>
            <w:hideMark/>
          </w:tcPr>
          <w:p w14:paraId="0ABB9037" w14:textId="77777777" w:rsidR="00313600" w:rsidRPr="00710515" w:rsidRDefault="00313600" w:rsidP="00EC3C5F">
            <w:pPr>
              <w:spacing w:after="120" w:line="276" w:lineRule="auto"/>
              <w:rPr>
                <w:rFonts w:ascii="Arial" w:hAnsi="Arial" w:cs="Arial"/>
                <w:lang w:val="es-ES"/>
              </w:rPr>
            </w:pPr>
            <w:r w:rsidRPr="00710515">
              <w:rPr>
                <w:rFonts w:ascii="Arial" w:hAnsi="Arial" w:cs="Arial"/>
                <w:b/>
                <w:bCs/>
                <w:lang w:val="es-ES"/>
              </w:rPr>
              <w:lastRenderedPageBreak/>
              <w:t>Parcialmente habilitante (3)</w:t>
            </w:r>
          </w:p>
        </w:tc>
        <w:tc>
          <w:tcPr>
            <w:tcW w:w="0" w:type="auto"/>
          </w:tcPr>
          <w:p w14:paraId="5898377D" w14:textId="51D7BDBF" w:rsidR="00313600" w:rsidRPr="00710515" w:rsidRDefault="00313600" w:rsidP="00EC3C5F">
            <w:pPr>
              <w:spacing w:after="120" w:line="276" w:lineRule="auto"/>
              <w:rPr>
                <w:rFonts w:ascii="Arial" w:hAnsi="Arial" w:cs="Arial"/>
                <w:lang w:val="es-ES"/>
              </w:rPr>
            </w:pPr>
            <w:r w:rsidRPr="009B0F1D">
              <w:rPr>
                <w:rFonts w:ascii="Arial" w:hAnsi="Arial" w:cs="Arial"/>
                <w:lang w:val="es-ES"/>
              </w:rPr>
              <w:t>Hay financiación disponible hasta cierto punto, pero el acceso se ve obstaculizado por los procesos burocráticos y aún existen algunas restricciones. Existe información sobre las fuentes de financiación, pero puede ser difícil encontrarla o acceder a ella. Los bancos permiten las operaciones de los actores de la sociedad civil, pero a menudo imponen restricciones innecesarias, como tarifas más altas o requisitos adicionales. Algunos actores de la sociedad civil enfrentan desventajas, por ejemplo, los que trabajan en temas sensibles o comunidades marginadas. Hay algunas exenciones o deducciones fiscales, pero pueden ser complicadas o aplicarse de manera inconsistente. Los donantes reciben incentivos limitados por contribuir.</w:t>
            </w:r>
          </w:p>
        </w:tc>
      </w:tr>
      <w:tr w:rsidR="00313600" w:rsidRPr="009B0F1D" w14:paraId="2687EE25" w14:textId="77777777" w:rsidTr="001F02C0">
        <w:tc>
          <w:tcPr>
            <w:tcW w:w="0" w:type="auto"/>
            <w:hideMark/>
          </w:tcPr>
          <w:p w14:paraId="22694F48" w14:textId="77777777" w:rsidR="00313600" w:rsidRPr="00710515" w:rsidRDefault="00313600"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3D133FEB" w14:textId="7E12A6CA" w:rsidR="00313600" w:rsidRPr="00710515" w:rsidRDefault="00313600" w:rsidP="00EC3C5F">
            <w:pPr>
              <w:spacing w:after="120" w:line="276" w:lineRule="auto"/>
              <w:rPr>
                <w:rFonts w:ascii="Arial" w:hAnsi="Arial" w:cs="Arial"/>
                <w:lang w:val="es-ES"/>
              </w:rPr>
            </w:pPr>
            <w:r w:rsidRPr="009B0F1D">
              <w:rPr>
                <w:rFonts w:ascii="Arial" w:hAnsi="Arial" w:cs="Arial"/>
                <w:lang w:val="es-ES"/>
              </w:rPr>
              <w:t xml:space="preserve">Hay financiación disponible. El </w:t>
            </w:r>
            <w:r w:rsidR="00D806DC" w:rsidRPr="009B0F1D">
              <w:rPr>
                <w:rFonts w:ascii="Arial" w:hAnsi="Arial" w:cs="Arial"/>
                <w:lang w:val="es-ES"/>
              </w:rPr>
              <w:t>e</w:t>
            </w:r>
            <w:r w:rsidRPr="009B0F1D">
              <w:rPr>
                <w:rFonts w:ascii="Arial" w:hAnsi="Arial" w:cs="Arial"/>
                <w:lang w:val="es-ES"/>
              </w:rPr>
              <w:t>stado ofrece un marco claro y propicio para el acceso a la financiación, con información fácilmente disponible, restricciones mínimas y procesos de aprobación eficientes. Los bancos facilitan el acceso a los servicios con tarifas mínimas y pocas restricciones. Ciertos tipos de actores de la sociedad civil pueden enfrentar limitaciones de elegibilidad o de recursos, pero estos desafíos generalmente se pueden abordar o superar. Las regulaciones fiscales ofrecen exenciones e incentivos razonables para los donantes.</w:t>
            </w:r>
          </w:p>
        </w:tc>
      </w:tr>
      <w:tr w:rsidR="00313600" w:rsidRPr="009B0F1D" w14:paraId="12FBD03C" w14:textId="77777777" w:rsidTr="001F02C0">
        <w:tc>
          <w:tcPr>
            <w:tcW w:w="0" w:type="auto"/>
            <w:hideMark/>
          </w:tcPr>
          <w:p w14:paraId="47C7B7C4" w14:textId="77777777" w:rsidR="00313600" w:rsidRPr="00710515" w:rsidRDefault="00313600"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53E1A821" w14:textId="020C4AA7" w:rsidR="00313600" w:rsidRPr="00710515" w:rsidRDefault="00313600" w:rsidP="00EC3C5F">
            <w:pPr>
              <w:spacing w:after="120" w:line="276" w:lineRule="auto"/>
              <w:rPr>
                <w:rFonts w:ascii="Arial" w:hAnsi="Arial" w:cs="Arial"/>
                <w:lang w:val="es-ES"/>
              </w:rPr>
            </w:pPr>
            <w:r w:rsidRPr="009B0F1D">
              <w:rPr>
                <w:rFonts w:ascii="Arial" w:hAnsi="Arial" w:cs="Arial"/>
                <w:lang w:val="es-ES"/>
              </w:rPr>
              <w:t xml:space="preserve">La financiación está disponible y es accesible. El </w:t>
            </w:r>
            <w:r w:rsidR="00D806DC" w:rsidRPr="009B0F1D">
              <w:rPr>
                <w:rFonts w:ascii="Arial" w:hAnsi="Arial" w:cs="Arial"/>
                <w:lang w:val="es-ES"/>
              </w:rPr>
              <w:t>e</w:t>
            </w:r>
            <w:r w:rsidRPr="009B0F1D">
              <w:rPr>
                <w:rFonts w:ascii="Arial" w:hAnsi="Arial" w:cs="Arial"/>
                <w:lang w:val="es-ES"/>
              </w:rPr>
              <w:t>stado promueve activamente el acceso a diversas fuentes de financiación sin restricciones, brindando información proactiva sobre las fuentes de financiación y garantizando procesos de presentación de informes transparentes y eficientes. Los bancos permiten a los actores de la sociedad civil abrir cuentas, recibir y acceder a financiación, incluida la financiación internacional, con facilidad. Los actores de la sociedad civil, incluidos los que trabajan en temas sensibles y grupos marginados, tienen oportunidades de acceder a la financiación. Las regulaciones eximen a los actores de la sociedad civil del impuesto sobre la renta, con incentivos significativos para los donantes</w:t>
            </w:r>
            <w:r w:rsidRPr="00AE0BA0">
              <w:rPr>
                <w:rFonts w:ascii="Arial" w:hAnsi="Arial" w:cs="Arial"/>
                <w:lang w:val="es-ES"/>
              </w:rPr>
              <w:t>.</w:t>
            </w:r>
          </w:p>
        </w:tc>
      </w:tr>
    </w:tbl>
    <w:p w14:paraId="7FD4BE62" w14:textId="77777777" w:rsidR="00313600" w:rsidRPr="00AE0BA0" w:rsidRDefault="00313600" w:rsidP="00EC3C5F">
      <w:pPr>
        <w:spacing w:after="120" w:line="276" w:lineRule="auto"/>
        <w:rPr>
          <w:rFonts w:ascii="Arial" w:hAnsi="Arial" w:cs="Arial"/>
        </w:rPr>
      </w:pPr>
    </w:p>
    <w:p w14:paraId="796FA8AA" w14:textId="77777777" w:rsidR="00AE0BA0" w:rsidRPr="00AE0BA0" w:rsidRDefault="00AE0BA0" w:rsidP="00EC3C5F">
      <w:pPr>
        <w:spacing w:after="120" w:line="276" w:lineRule="auto"/>
        <w:rPr>
          <w:rFonts w:ascii="Arial" w:hAnsi="Arial" w:cs="Arial"/>
          <w:b/>
          <w:bCs/>
        </w:rPr>
      </w:pPr>
      <w:r w:rsidRPr="00AE0BA0">
        <w:rPr>
          <w:rFonts w:ascii="Arial" w:hAnsi="Arial" w:cs="Arial"/>
          <w:b/>
          <w:bCs/>
        </w:rPr>
        <w:t>3.2 | Eficiencia de los recursos</w:t>
      </w:r>
    </w:p>
    <w:p w14:paraId="4BA67FC9" w14:textId="77777777" w:rsidR="00AE0BA0" w:rsidRPr="00AE0BA0" w:rsidRDefault="00AE0BA0" w:rsidP="00EC3C5F">
      <w:pPr>
        <w:spacing w:after="120" w:line="276" w:lineRule="auto"/>
        <w:rPr>
          <w:rFonts w:ascii="Arial" w:hAnsi="Arial" w:cs="Arial"/>
        </w:rPr>
      </w:pPr>
      <w:r w:rsidRPr="00AE0BA0">
        <w:rPr>
          <w:rFonts w:ascii="Arial" w:hAnsi="Arial" w:cs="Arial"/>
          <w:b/>
          <w:bCs/>
        </w:rPr>
        <w:t>Preguntas:</w:t>
      </w:r>
    </w:p>
    <w:p w14:paraId="4D812FF0" w14:textId="77777777" w:rsidR="00AE0BA0" w:rsidRPr="00AE0BA0" w:rsidRDefault="00AE0BA0" w:rsidP="00EC3C5F">
      <w:pPr>
        <w:numPr>
          <w:ilvl w:val="0"/>
          <w:numId w:val="26"/>
        </w:numPr>
        <w:spacing w:after="120" w:line="276" w:lineRule="auto"/>
        <w:rPr>
          <w:rFonts w:ascii="Arial" w:hAnsi="Arial" w:cs="Arial"/>
        </w:rPr>
      </w:pPr>
      <w:r w:rsidRPr="00AE0BA0">
        <w:rPr>
          <w:rFonts w:ascii="Arial" w:hAnsi="Arial" w:cs="Arial"/>
        </w:rPr>
        <w:t>¿Qué condiciones imponen los donantes al financiamiento? ¿Existen restricciones gubernamentales sobre cómo pueden usarse los recursos?</w:t>
      </w:r>
    </w:p>
    <w:p w14:paraId="7018F5EF" w14:textId="06AADC5E" w:rsidR="00AE0BA0" w:rsidRPr="00AE0BA0" w:rsidRDefault="00AE0BA0" w:rsidP="00EC3C5F">
      <w:pPr>
        <w:numPr>
          <w:ilvl w:val="0"/>
          <w:numId w:val="26"/>
        </w:numPr>
        <w:spacing w:after="120" w:line="276" w:lineRule="auto"/>
        <w:rPr>
          <w:rFonts w:ascii="Arial" w:hAnsi="Arial" w:cs="Arial"/>
        </w:rPr>
      </w:pPr>
      <w:r w:rsidRPr="00AE0BA0">
        <w:rPr>
          <w:rFonts w:ascii="Arial" w:hAnsi="Arial" w:cs="Arial"/>
        </w:rPr>
        <w:lastRenderedPageBreak/>
        <w:t xml:space="preserve">¿Las condiciones de financiamiento están alineadas con los objetivos de las OSC o </w:t>
      </w:r>
      <w:r w:rsidR="00D806DC" w:rsidRPr="009B0F1D">
        <w:rPr>
          <w:rFonts w:ascii="Arial" w:hAnsi="Arial" w:cs="Arial"/>
        </w:rPr>
        <w:t xml:space="preserve">están más bien dictadas por los donantes, </w:t>
      </w:r>
      <w:r w:rsidRPr="00AE0BA0">
        <w:rPr>
          <w:rFonts w:ascii="Arial" w:hAnsi="Arial" w:cs="Arial"/>
        </w:rPr>
        <w:t>limitan</w:t>
      </w:r>
      <w:r w:rsidR="00D806DC" w:rsidRPr="009B0F1D">
        <w:rPr>
          <w:rFonts w:ascii="Arial" w:hAnsi="Arial" w:cs="Arial"/>
        </w:rPr>
        <w:t>do así la autonomía de las OSC</w:t>
      </w:r>
      <w:r w:rsidRPr="00AE0BA0">
        <w:rPr>
          <w:rFonts w:ascii="Arial" w:hAnsi="Arial" w:cs="Arial"/>
        </w:rPr>
        <w:t>?</w:t>
      </w:r>
    </w:p>
    <w:p w14:paraId="089FB34F" w14:textId="0FDB2EEF" w:rsidR="00AE0BA0" w:rsidRPr="00AE0BA0" w:rsidRDefault="00AE0BA0" w:rsidP="00EC3C5F">
      <w:pPr>
        <w:numPr>
          <w:ilvl w:val="0"/>
          <w:numId w:val="26"/>
        </w:numPr>
        <w:spacing w:after="120" w:line="276" w:lineRule="auto"/>
        <w:rPr>
          <w:rFonts w:ascii="Arial" w:hAnsi="Arial" w:cs="Arial"/>
        </w:rPr>
      </w:pPr>
      <w:r w:rsidRPr="00AE0BA0">
        <w:rPr>
          <w:rFonts w:ascii="Arial" w:hAnsi="Arial" w:cs="Arial"/>
        </w:rPr>
        <w:t>¿Qué tan flexibles son los donantes para adaptar su financiamiento a cambios en el entorno operativo</w:t>
      </w:r>
      <w:r w:rsidR="00D806DC" w:rsidRPr="009B0F1D">
        <w:rPr>
          <w:rFonts w:ascii="Arial" w:hAnsi="Arial" w:cs="Arial"/>
        </w:rPr>
        <w:t xml:space="preserve"> o la misión de las OSC, permitiendo así que los programas de adapten a las necesidades emergentes</w:t>
      </w:r>
      <w:r w:rsidRPr="00AE0BA0">
        <w:rPr>
          <w:rFonts w:ascii="Arial" w:hAnsi="Arial" w:cs="Arial"/>
        </w:rPr>
        <w:t>?</w:t>
      </w:r>
    </w:p>
    <w:p w14:paraId="71AE9D50" w14:textId="77777777" w:rsidR="00AE0BA0" w:rsidRPr="00AE0BA0" w:rsidRDefault="00AE0BA0" w:rsidP="00EC3C5F">
      <w:pPr>
        <w:numPr>
          <w:ilvl w:val="0"/>
          <w:numId w:val="26"/>
        </w:numPr>
        <w:spacing w:after="120" w:line="276" w:lineRule="auto"/>
        <w:rPr>
          <w:rFonts w:ascii="Arial" w:hAnsi="Arial" w:cs="Arial"/>
        </w:rPr>
      </w:pPr>
      <w:r w:rsidRPr="00AE0BA0">
        <w:rPr>
          <w:rFonts w:ascii="Arial" w:hAnsi="Arial" w:cs="Arial"/>
        </w:rPr>
        <w:t>¿Qué tan receptivos son los donantes a las preocupaciones de seguridad de las OSC y qué medidas toman para mitigar posibles daños?</w:t>
      </w:r>
    </w:p>
    <w:p w14:paraId="52D5E811" w14:textId="77777777" w:rsidR="00AE0BA0" w:rsidRPr="009B0F1D" w:rsidRDefault="00AE0BA0" w:rsidP="00EC3C5F">
      <w:pPr>
        <w:spacing w:after="120" w:line="276" w:lineRule="auto"/>
        <w:rPr>
          <w:rFonts w:ascii="Arial" w:hAnsi="Arial" w:cs="Arial"/>
          <w:b/>
          <w:bCs/>
        </w:rPr>
      </w:pPr>
      <w:r w:rsidRPr="00AE0BA0">
        <w:rPr>
          <w:rFonts w:ascii="Arial" w:hAnsi="Arial" w:cs="Arial"/>
          <w:b/>
          <w:bCs/>
        </w:rPr>
        <w:t>Referencia de puntuación:</w:t>
      </w:r>
    </w:p>
    <w:tbl>
      <w:tblPr>
        <w:tblStyle w:val="TableGrid"/>
        <w:tblW w:w="0" w:type="auto"/>
        <w:tblLook w:val="04A0" w:firstRow="1" w:lastRow="0" w:firstColumn="1" w:lastColumn="0" w:noHBand="0" w:noVBand="1"/>
      </w:tblPr>
      <w:tblGrid>
        <w:gridCol w:w="1830"/>
        <w:gridCol w:w="6664"/>
      </w:tblGrid>
      <w:tr w:rsidR="00D806DC" w:rsidRPr="009B0F1D" w14:paraId="108ECF2A" w14:textId="77777777" w:rsidTr="001F02C0">
        <w:tc>
          <w:tcPr>
            <w:tcW w:w="0" w:type="auto"/>
            <w:hideMark/>
          </w:tcPr>
          <w:p w14:paraId="193822A2" w14:textId="77777777" w:rsidR="00D806DC" w:rsidRPr="00710515" w:rsidRDefault="00D806DC"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1995529B" w14:textId="77777777" w:rsidR="00D806DC" w:rsidRPr="00710515" w:rsidRDefault="00D806DC" w:rsidP="00EC3C5F">
            <w:pPr>
              <w:spacing w:after="120" w:line="276" w:lineRule="auto"/>
              <w:rPr>
                <w:rFonts w:ascii="Arial" w:hAnsi="Arial" w:cs="Arial"/>
                <w:b/>
                <w:bCs/>
                <w:lang w:val="es-ES"/>
              </w:rPr>
            </w:pPr>
            <w:r w:rsidRPr="00710515">
              <w:rPr>
                <w:rFonts w:ascii="Arial" w:hAnsi="Arial" w:cs="Arial"/>
                <w:b/>
                <w:bCs/>
                <w:lang w:val="es-ES"/>
              </w:rPr>
              <w:t>Descripción</w:t>
            </w:r>
          </w:p>
        </w:tc>
      </w:tr>
      <w:tr w:rsidR="00D806DC" w:rsidRPr="009B0F1D" w14:paraId="143899CB" w14:textId="77777777" w:rsidTr="001F02C0">
        <w:tc>
          <w:tcPr>
            <w:tcW w:w="0" w:type="auto"/>
            <w:hideMark/>
          </w:tcPr>
          <w:p w14:paraId="51AE4357" w14:textId="77777777" w:rsidR="00D806DC" w:rsidRPr="00710515" w:rsidRDefault="00D806DC" w:rsidP="00EC3C5F">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255A4C94" w14:textId="43A63073" w:rsidR="00D806DC" w:rsidRPr="00710515" w:rsidRDefault="00D806DC" w:rsidP="00EC3C5F">
            <w:pPr>
              <w:spacing w:after="120" w:line="276" w:lineRule="auto"/>
              <w:rPr>
                <w:rFonts w:ascii="Arial" w:hAnsi="Arial" w:cs="Arial"/>
                <w:lang w:val="es-ES"/>
              </w:rPr>
            </w:pPr>
            <w:r w:rsidRPr="009B0F1D">
              <w:rPr>
                <w:rFonts w:ascii="Arial" w:hAnsi="Arial" w:cs="Arial"/>
                <w:lang w:val="es-ES"/>
              </w:rPr>
              <w:t>Los donantes imponen condiciones muy restrictivas que limitan gravemente la independencia de los actores de la sociedad civil. Las relaciones con los donantes y sus pares carecen de confianza o colaboración. Los donantes interfieren en la gobernanza interna de los actores de la sociedad civil. Los requisitos de presentación de informes y cumplimiento son excesivos, inconsistentes y onerosos, lo que obstruye la capacidad de los actores de la sociedad civil para cumplir con sus misiones. Las condiciones de los donantes y los requisitos de presentación de informes exacerban los riesgos de seguridad para los actores de la sociedad civil.</w:t>
            </w:r>
          </w:p>
        </w:tc>
      </w:tr>
      <w:tr w:rsidR="00D806DC" w:rsidRPr="009B0F1D" w14:paraId="67CD7B10" w14:textId="77777777" w:rsidTr="001F02C0">
        <w:tc>
          <w:tcPr>
            <w:tcW w:w="0" w:type="auto"/>
            <w:hideMark/>
          </w:tcPr>
          <w:p w14:paraId="5A70B3EC" w14:textId="77777777" w:rsidR="00D806DC" w:rsidRPr="00710515" w:rsidRDefault="00D806DC" w:rsidP="00EC3C5F">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30B340E6" w14:textId="7D2524D3" w:rsidR="00D806DC" w:rsidRPr="00710515" w:rsidRDefault="00D806DC" w:rsidP="00EC3C5F">
            <w:pPr>
              <w:spacing w:after="120" w:line="276" w:lineRule="auto"/>
              <w:rPr>
                <w:rFonts w:ascii="Arial" w:hAnsi="Arial" w:cs="Arial"/>
                <w:lang w:val="es-ES"/>
              </w:rPr>
            </w:pPr>
            <w:r w:rsidRPr="009B0F1D">
              <w:rPr>
                <w:rFonts w:ascii="Arial" w:hAnsi="Arial" w:cs="Arial"/>
                <w:lang w:val="es-ES"/>
              </w:rPr>
              <w:t>Los donantes imponen condiciones significativas que restringen la flexibilidad y la autonomía de los actores de la sociedad civil, a menudo sin tener en cuenta las necesidades locales. Las relaciones con los donantes/pares son en gran medida jerárquicas, lo que deja poco espacio para la contribución de los actores de la sociedad civil. Los donantes interfieren ocasionalmente en la gobernanza interna. Las condiciones de los donantes y los procesos de presentación de informes no se adaptan a los riesgos de seguridad que enfrentan los actores de la sociedad civil.</w:t>
            </w:r>
          </w:p>
        </w:tc>
      </w:tr>
      <w:tr w:rsidR="00D806DC" w:rsidRPr="009B0F1D" w14:paraId="32319E26" w14:textId="77777777" w:rsidTr="001F02C0">
        <w:tc>
          <w:tcPr>
            <w:tcW w:w="0" w:type="auto"/>
            <w:hideMark/>
          </w:tcPr>
          <w:p w14:paraId="50F707E7" w14:textId="77777777" w:rsidR="00D806DC" w:rsidRPr="00710515" w:rsidRDefault="00D806DC"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2FF702C2" w14:textId="06371F71" w:rsidR="00D806DC" w:rsidRPr="00710515" w:rsidRDefault="00D806DC" w:rsidP="00EC3C5F">
            <w:pPr>
              <w:spacing w:after="120" w:line="276" w:lineRule="auto"/>
              <w:rPr>
                <w:rFonts w:ascii="Arial" w:hAnsi="Arial" w:cs="Arial"/>
                <w:lang w:val="es-ES"/>
              </w:rPr>
            </w:pPr>
            <w:r w:rsidRPr="009B0F1D">
              <w:rPr>
                <w:rFonts w:ascii="Arial" w:hAnsi="Arial" w:cs="Arial"/>
                <w:lang w:val="es-ES"/>
              </w:rPr>
              <w:t xml:space="preserve">Los donantes imponen condiciones razonables que generalmente se alinean con los objetivos y las prioridades de los actores de la sociedad civil. Las relaciones con los donantes y sus pares son colaborativas, con cierto grado de toma de decisiones compartida. Los donantes respetan la autonomía de los actores de la sociedad civil en </w:t>
            </w:r>
            <w:r w:rsidR="006D6A13" w:rsidRPr="009B0F1D">
              <w:rPr>
                <w:rFonts w:ascii="Arial" w:hAnsi="Arial" w:cs="Arial"/>
                <w:lang w:val="es-ES"/>
              </w:rPr>
              <w:t>su</w:t>
            </w:r>
            <w:r w:rsidRPr="009B0F1D">
              <w:rPr>
                <w:rFonts w:ascii="Arial" w:hAnsi="Arial" w:cs="Arial"/>
                <w:lang w:val="es-ES"/>
              </w:rPr>
              <w:t xml:space="preserve"> gobernanza. Los requisitos de presentación de informes son ocasionalmente rígidos, con algunas ineficiencias. Los </w:t>
            </w:r>
            <w:r w:rsidRPr="00625266">
              <w:rPr>
                <w:rFonts w:ascii="Arial" w:hAnsi="Arial" w:cs="Arial"/>
                <w:b/>
                <w:bCs/>
                <w:lang w:val="es-ES"/>
              </w:rPr>
              <w:t>donantes</w:t>
            </w:r>
            <w:r w:rsidRPr="009B0F1D">
              <w:rPr>
                <w:rFonts w:ascii="Arial" w:hAnsi="Arial" w:cs="Arial"/>
                <w:lang w:val="es-ES"/>
              </w:rPr>
              <w:t xml:space="preserve"> reconocen el daño potencial de las condiciones y los requisitos de presentación de informes y toman medidas de mitigación.</w:t>
            </w:r>
          </w:p>
        </w:tc>
      </w:tr>
      <w:tr w:rsidR="00D806DC" w:rsidRPr="009B0F1D" w14:paraId="14599D15" w14:textId="77777777" w:rsidTr="001F02C0">
        <w:tc>
          <w:tcPr>
            <w:tcW w:w="0" w:type="auto"/>
            <w:hideMark/>
          </w:tcPr>
          <w:p w14:paraId="348CF132" w14:textId="77777777" w:rsidR="00D806DC" w:rsidRPr="00710515" w:rsidRDefault="00D806DC"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1E0DD964" w14:textId="2010C95A" w:rsidR="00D806DC" w:rsidRPr="00710515" w:rsidRDefault="00D806DC" w:rsidP="00EC3C5F">
            <w:pPr>
              <w:spacing w:after="120" w:line="276" w:lineRule="auto"/>
              <w:rPr>
                <w:rFonts w:ascii="Arial" w:hAnsi="Arial" w:cs="Arial"/>
                <w:lang w:val="es-ES"/>
              </w:rPr>
            </w:pPr>
            <w:r w:rsidRPr="009B0F1D">
              <w:rPr>
                <w:rFonts w:ascii="Arial" w:hAnsi="Arial" w:cs="Arial"/>
                <w:lang w:val="es-ES"/>
              </w:rPr>
              <w:t xml:space="preserve">Los donantes ofrecen condiciones flexibles y razonables que se alinean con las necesidades y prioridades de los actores de la sociedad civil. Las relaciones se basan en la confianza, con </w:t>
            </w:r>
            <w:r w:rsidRPr="009B0F1D">
              <w:rPr>
                <w:rFonts w:ascii="Arial" w:hAnsi="Arial" w:cs="Arial"/>
                <w:lang w:val="es-ES"/>
              </w:rPr>
              <w:lastRenderedPageBreak/>
              <w:t>espacio para la negociación y la toma de decisiones compartida. Los donantes respetan y promueven activamente la autonomía de los actores de la sociedad civil en la gobernanza. Los requisitos de presentación de informes se simplifican. Los donantes responden a las necesidades de seguridad de los actores de la sociedad civil y toman medidas proactivas para mitigar los riesgos.</w:t>
            </w:r>
          </w:p>
        </w:tc>
      </w:tr>
      <w:tr w:rsidR="00D806DC" w:rsidRPr="009B0F1D" w14:paraId="760D4551" w14:textId="77777777" w:rsidTr="001F02C0">
        <w:tc>
          <w:tcPr>
            <w:tcW w:w="0" w:type="auto"/>
            <w:hideMark/>
          </w:tcPr>
          <w:p w14:paraId="4CEBFA9B" w14:textId="77777777" w:rsidR="00D806DC" w:rsidRPr="00710515" w:rsidRDefault="00D806DC" w:rsidP="00EC3C5F">
            <w:pPr>
              <w:spacing w:after="120" w:line="276" w:lineRule="auto"/>
              <w:rPr>
                <w:rFonts w:ascii="Arial" w:hAnsi="Arial" w:cs="Arial"/>
                <w:lang w:val="es-ES"/>
              </w:rPr>
            </w:pPr>
            <w:r w:rsidRPr="00710515">
              <w:rPr>
                <w:rFonts w:ascii="Arial" w:hAnsi="Arial" w:cs="Arial"/>
                <w:b/>
                <w:bCs/>
                <w:lang w:val="es-ES"/>
              </w:rPr>
              <w:lastRenderedPageBreak/>
              <w:t>Totalmente habilitante (5)</w:t>
            </w:r>
          </w:p>
        </w:tc>
        <w:tc>
          <w:tcPr>
            <w:tcW w:w="0" w:type="auto"/>
          </w:tcPr>
          <w:p w14:paraId="55569586" w14:textId="1F2C5184" w:rsidR="00D806DC" w:rsidRPr="009B0F1D" w:rsidRDefault="00D806DC" w:rsidP="00EC3C5F">
            <w:pPr>
              <w:spacing w:after="120" w:line="276" w:lineRule="auto"/>
              <w:rPr>
                <w:rFonts w:ascii="Arial" w:hAnsi="Arial" w:cs="Arial"/>
                <w:lang w:val="es-ES"/>
              </w:rPr>
            </w:pPr>
            <w:r w:rsidRPr="009B0F1D">
              <w:rPr>
                <w:rFonts w:ascii="Arial" w:hAnsi="Arial" w:cs="Arial"/>
                <w:lang w:val="es-ES"/>
              </w:rPr>
              <w:t xml:space="preserve">Los donantes apoyan activamente la independencia de los actores de la sociedad civil a través de una financiación flexible y sin restricciones. Las relaciones se basan, en la mayoría de los casos, en el respeto mutuo y la creación conjunta de prioridades de financiación. Los donantes promueven activamente la autonomía de los actores de la sociedad civil en la gobernanza. Los requisitos de presentación de informes son mínimos, transparentes y eficientes, lo que permite a los actores de la sociedad civil centrarse en </w:t>
            </w:r>
            <w:r w:rsidR="00101189" w:rsidRPr="009B0F1D">
              <w:rPr>
                <w:rFonts w:ascii="Arial" w:hAnsi="Arial" w:cs="Arial"/>
                <w:lang w:val="es-ES"/>
              </w:rPr>
              <w:t>su misión</w:t>
            </w:r>
            <w:r w:rsidRPr="009B0F1D">
              <w:rPr>
                <w:rFonts w:ascii="Arial" w:hAnsi="Arial" w:cs="Arial"/>
                <w:lang w:val="es-ES"/>
              </w:rPr>
              <w:t>. Los donantes proporcionan espacios dedicados a los actores de la sociedad civil para plantear preocupaciones de seguridad y crear conjuntamente soluciones flexibles para prevenir daños y mejorar la resiliencia.</w:t>
            </w:r>
          </w:p>
          <w:p w14:paraId="13F9ED32" w14:textId="2728AA92" w:rsidR="00D806DC" w:rsidRPr="00710515" w:rsidRDefault="00D806DC" w:rsidP="00EC3C5F">
            <w:pPr>
              <w:spacing w:after="120" w:line="276" w:lineRule="auto"/>
              <w:rPr>
                <w:rFonts w:ascii="Arial" w:hAnsi="Arial" w:cs="Arial"/>
                <w:lang w:val="es-ES"/>
              </w:rPr>
            </w:pPr>
          </w:p>
        </w:tc>
      </w:tr>
    </w:tbl>
    <w:p w14:paraId="534F0322" w14:textId="77777777" w:rsidR="00D806DC" w:rsidRPr="009B0F1D" w:rsidRDefault="00D806DC" w:rsidP="00EC3C5F">
      <w:pPr>
        <w:spacing w:after="120" w:line="276" w:lineRule="auto"/>
        <w:rPr>
          <w:rFonts w:ascii="Arial" w:hAnsi="Arial" w:cs="Arial"/>
        </w:rPr>
      </w:pPr>
    </w:p>
    <w:p w14:paraId="2ECEC400" w14:textId="77777777" w:rsidR="00A35376" w:rsidRPr="00A35376" w:rsidRDefault="00A35376" w:rsidP="00EC3C5F">
      <w:pPr>
        <w:spacing w:after="120" w:line="276" w:lineRule="auto"/>
        <w:rPr>
          <w:rFonts w:ascii="Arial" w:hAnsi="Arial" w:cs="Arial"/>
          <w:b/>
          <w:bCs/>
        </w:rPr>
      </w:pPr>
      <w:r w:rsidRPr="00A35376">
        <w:rPr>
          <w:rFonts w:ascii="Arial" w:hAnsi="Arial" w:cs="Arial"/>
          <w:b/>
          <w:bCs/>
        </w:rPr>
        <w:t>3.3 | Sostenibilidad de los Recursos</w:t>
      </w:r>
    </w:p>
    <w:p w14:paraId="4D420C0A" w14:textId="77777777" w:rsidR="00A35376" w:rsidRPr="00A35376" w:rsidRDefault="00A35376" w:rsidP="00EC3C5F">
      <w:pPr>
        <w:spacing w:after="120" w:line="276" w:lineRule="auto"/>
        <w:rPr>
          <w:rFonts w:ascii="Arial" w:hAnsi="Arial" w:cs="Arial"/>
        </w:rPr>
      </w:pPr>
      <w:r w:rsidRPr="00A35376">
        <w:rPr>
          <w:rFonts w:ascii="Arial" w:hAnsi="Arial" w:cs="Arial"/>
          <w:b/>
          <w:bCs/>
        </w:rPr>
        <w:t>Preguntas:</w:t>
      </w:r>
    </w:p>
    <w:p w14:paraId="79D4C5E1" w14:textId="222B66ED" w:rsidR="00A35376" w:rsidRPr="00A35376" w:rsidRDefault="00A35376" w:rsidP="00EC3C5F">
      <w:pPr>
        <w:numPr>
          <w:ilvl w:val="0"/>
          <w:numId w:val="28"/>
        </w:numPr>
        <w:spacing w:after="120" w:line="276" w:lineRule="auto"/>
        <w:rPr>
          <w:rFonts w:ascii="Arial" w:hAnsi="Arial" w:cs="Arial"/>
        </w:rPr>
      </w:pPr>
      <w:r w:rsidRPr="00A35376">
        <w:rPr>
          <w:rFonts w:ascii="Arial" w:hAnsi="Arial" w:cs="Arial"/>
        </w:rPr>
        <w:t>¿En qué medida los actores de la sociedad civil tienen acceso a una fuente de financiamiento diversa y confiable? ¿Qué desafíos surgen si dependen de una única fuente de financiamiento o de una fuente impredecible?</w:t>
      </w:r>
    </w:p>
    <w:p w14:paraId="72B8384E" w14:textId="62A030C5" w:rsidR="00A35376" w:rsidRPr="00A35376" w:rsidRDefault="00A35376" w:rsidP="00EC3C5F">
      <w:pPr>
        <w:numPr>
          <w:ilvl w:val="0"/>
          <w:numId w:val="28"/>
        </w:numPr>
        <w:spacing w:after="120" w:line="276" w:lineRule="auto"/>
        <w:rPr>
          <w:rFonts w:ascii="Arial" w:hAnsi="Arial" w:cs="Arial"/>
        </w:rPr>
      </w:pPr>
      <w:r w:rsidRPr="00A35376">
        <w:rPr>
          <w:rFonts w:ascii="Arial" w:hAnsi="Arial" w:cs="Arial"/>
        </w:rPr>
        <w:t>¿Existen brechas en los ciclos de financiamiento y cómo afectan la capacidad de los actores de la sociedad civil para mantener sus operaciones sin retrasos o interrupciones? ¿De qué manera las estructuras de financiamiento actuales influyen en las condiciones laborales, la continuidad de los programas y la sostenibilidad a largo plazo?</w:t>
      </w:r>
    </w:p>
    <w:p w14:paraId="2054F403" w14:textId="4C487B79" w:rsidR="00A35376" w:rsidRPr="00A35376" w:rsidRDefault="00A35376" w:rsidP="00EC3C5F">
      <w:pPr>
        <w:numPr>
          <w:ilvl w:val="0"/>
          <w:numId w:val="28"/>
        </w:numPr>
        <w:spacing w:after="120" w:line="276" w:lineRule="auto"/>
        <w:rPr>
          <w:rFonts w:ascii="Arial" w:hAnsi="Arial" w:cs="Arial"/>
        </w:rPr>
      </w:pPr>
      <w:r w:rsidRPr="00A35376">
        <w:rPr>
          <w:rFonts w:ascii="Arial" w:hAnsi="Arial" w:cs="Arial"/>
        </w:rPr>
        <w:t>¿Cómo afecta el entorno de recursos la capacidad de los actores de la sociedad civil para alcanzar objetivos programáticos a largo plazo y realizar una planificación estratégica? ¿En qué medida el financiamiento se basa en proyectos específicos o en financiamiento estructural (</w:t>
      </w:r>
      <w:proofErr w:type="spellStart"/>
      <w:r w:rsidRPr="00A35376">
        <w:rPr>
          <w:rFonts w:ascii="Arial" w:hAnsi="Arial" w:cs="Arial"/>
        </w:rPr>
        <w:t>core</w:t>
      </w:r>
      <w:proofErr w:type="spellEnd"/>
      <w:r w:rsidRPr="00A35376">
        <w:rPr>
          <w:rFonts w:ascii="Arial" w:hAnsi="Arial" w:cs="Arial"/>
        </w:rPr>
        <w:t xml:space="preserve"> </w:t>
      </w:r>
      <w:proofErr w:type="spellStart"/>
      <w:r w:rsidRPr="00A35376">
        <w:rPr>
          <w:rFonts w:ascii="Arial" w:hAnsi="Arial" w:cs="Arial"/>
        </w:rPr>
        <w:t>funding</w:t>
      </w:r>
      <w:proofErr w:type="spellEnd"/>
      <w:r w:rsidRPr="00A35376">
        <w:rPr>
          <w:rFonts w:ascii="Arial" w:hAnsi="Arial" w:cs="Arial"/>
        </w:rPr>
        <w:t>) y cómo afecta esto a la sostenibilidad organizacional?</w:t>
      </w:r>
    </w:p>
    <w:p w14:paraId="7621CB50" w14:textId="39861B61" w:rsidR="00A35376" w:rsidRPr="00A35376" w:rsidRDefault="00A35376" w:rsidP="00EC3C5F">
      <w:pPr>
        <w:numPr>
          <w:ilvl w:val="0"/>
          <w:numId w:val="28"/>
        </w:numPr>
        <w:spacing w:after="120" w:line="276" w:lineRule="auto"/>
        <w:rPr>
          <w:rFonts w:ascii="Arial" w:hAnsi="Arial" w:cs="Arial"/>
        </w:rPr>
      </w:pPr>
      <w:r w:rsidRPr="00A35376">
        <w:rPr>
          <w:rFonts w:ascii="Arial" w:hAnsi="Arial" w:cs="Arial"/>
        </w:rPr>
        <w:t>¿En qué medida los actores de la sociedad civil pueden desarrollar autonomía financiera, por ejemplo, recaudar sus propios fondos, recibir apoyo en forma de donaciones y voluntariado, o realizar actividades generadoras de ingresos?</w:t>
      </w:r>
    </w:p>
    <w:p w14:paraId="0981AD0F" w14:textId="77777777" w:rsidR="00A35376" w:rsidRPr="009B0F1D" w:rsidRDefault="00A35376" w:rsidP="00EC3C5F">
      <w:pPr>
        <w:spacing w:after="120" w:line="276" w:lineRule="auto"/>
        <w:rPr>
          <w:rFonts w:ascii="Arial" w:hAnsi="Arial" w:cs="Arial"/>
          <w:b/>
          <w:bCs/>
        </w:rPr>
      </w:pPr>
      <w:r w:rsidRPr="00A35376">
        <w:rPr>
          <w:rFonts w:ascii="Arial" w:hAnsi="Arial" w:cs="Arial"/>
          <w:b/>
          <w:bCs/>
        </w:rPr>
        <w:t>Referencia de puntuación:</w:t>
      </w:r>
    </w:p>
    <w:tbl>
      <w:tblPr>
        <w:tblStyle w:val="TableGrid"/>
        <w:tblW w:w="0" w:type="auto"/>
        <w:tblLook w:val="04A0" w:firstRow="1" w:lastRow="0" w:firstColumn="1" w:lastColumn="0" w:noHBand="0" w:noVBand="1"/>
      </w:tblPr>
      <w:tblGrid>
        <w:gridCol w:w="1835"/>
        <w:gridCol w:w="6659"/>
      </w:tblGrid>
      <w:tr w:rsidR="00A35376" w:rsidRPr="009B0F1D" w14:paraId="7EF68957" w14:textId="77777777" w:rsidTr="001F02C0">
        <w:tc>
          <w:tcPr>
            <w:tcW w:w="0" w:type="auto"/>
            <w:hideMark/>
          </w:tcPr>
          <w:p w14:paraId="094556E1" w14:textId="77777777" w:rsidR="00A35376" w:rsidRPr="00710515" w:rsidRDefault="00A35376"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44229D3A" w14:textId="77777777" w:rsidR="00A35376" w:rsidRPr="00710515" w:rsidRDefault="00A35376" w:rsidP="00EC3C5F">
            <w:pPr>
              <w:spacing w:after="120" w:line="276" w:lineRule="auto"/>
              <w:rPr>
                <w:rFonts w:ascii="Arial" w:hAnsi="Arial" w:cs="Arial"/>
                <w:b/>
                <w:bCs/>
                <w:lang w:val="es-ES"/>
              </w:rPr>
            </w:pPr>
            <w:r w:rsidRPr="00710515">
              <w:rPr>
                <w:rFonts w:ascii="Arial" w:hAnsi="Arial" w:cs="Arial"/>
                <w:b/>
                <w:bCs/>
                <w:lang w:val="es-ES"/>
              </w:rPr>
              <w:t>Descripción</w:t>
            </w:r>
          </w:p>
        </w:tc>
      </w:tr>
      <w:tr w:rsidR="00A35376" w:rsidRPr="009B0F1D" w14:paraId="7891DA6E" w14:textId="77777777" w:rsidTr="001F02C0">
        <w:tc>
          <w:tcPr>
            <w:tcW w:w="0" w:type="auto"/>
            <w:hideMark/>
          </w:tcPr>
          <w:p w14:paraId="52FFD58D" w14:textId="77777777" w:rsidR="00A35376" w:rsidRPr="00710515" w:rsidRDefault="00A35376" w:rsidP="00EC3C5F">
            <w:pPr>
              <w:spacing w:after="120" w:line="276" w:lineRule="auto"/>
              <w:rPr>
                <w:rFonts w:ascii="Arial" w:hAnsi="Arial" w:cs="Arial"/>
                <w:lang w:val="es-ES"/>
              </w:rPr>
            </w:pPr>
            <w:r w:rsidRPr="00710515">
              <w:rPr>
                <w:rFonts w:ascii="Arial" w:hAnsi="Arial" w:cs="Arial"/>
                <w:b/>
                <w:bCs/>
                <w:lang w:val="es-ES"/>
              </w:rPr>
              <w:lastRenderedPageBreak/>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3BB0614F" w14:textId="517A01E6" w:rsidR="00A35376" w:rsidRPr="00710515" w:rsidRDefault="00A35376" w:rsidP="00EC3C5F">
            <w:pPr>
              <w:spacing w:after="120" w:line="276" w:lineRule="auto"/>
              <w:rPr>
                <w:rFonts w:ascii="Arial" w:hAnsi="Arial" w:cs="Arial"/>
                <w:lang w:val="es-ES"/>
              </w:rPr>
            </w:pPr>
            <w:r w:rsidRPr="00A35376">
              <w:rPr>
                <w:rFonts w:ascii="Arial" w:hAnsi="Arial" w:cs="Arial"/>
                <w:lang w:val="es-ES"/>
              </w:rPr>
              <w:t>El financiamiento es impredecible, esporádico o depende de una única fuente. Los actores de la sociedad civil tienen dificultades para mantener sus operaciones, no pueden retener al personal y carecen de estabilidad. Los ciclos de financiamiento provocan interrupciones significativas y no existe apoyo para la planificación a largo plazo. Los esfuerzos de autonomía financiera, como la recaudación de fondos o el voluntariado, son casi inexistentes.</w:t>
            </w:r>
          </w:p>
        </w:tc>
      </w:tr>
      <w:tr w:rsidR="00A35376" w:rsidRPr="009B0F1D" w14:paraId="2A57AB76" w14:textId="77777777" w:rsidTr="001F02C0">
        <w:tc>
          <w:tcPr>
            <w:tcW w:w="0" w:type="auto"/>
            <w:hideMark/>
          </w:tcPr>
          <w:p w14:paraId="0E7599C9" w14:textId="77777777" w:rsidR="00A35376" w:rsidRPr="00710515" w:rsidRDefault="00A35376" w:rsidP="00EC3C5F">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5099762E" w14:textId="288098F0" w:rsidR="00A35376" w:rsidRPr="00710515" w:rsidRDefault="00A35376" w:rsidP="00EC3C5F">
            <w:pPr>
              <w:spacing w:after="120" w:line="276" w:lineRule="auto"/>
              <w:rPr>
                <w:rFonts w:ascii="Arial" w:hAnsi="Arial" w:cs="Arial"/>
                <w:lang w:val="es-ES"/>
              </w:rPr>
            </w:pPr>
            <w:r w:rsidRPr="00A35376">
              <w:rPr>
                <w:rFonts w:ascii="Arial" w:hAnsi="Arial" w:cs="Arial"/>
                <w:lang w:val="es-ES"/>
              </w:rPr>
              <w:t xml:space="preserve">El financiamiento es insuficiente y se distribuye de manera inconsistente en el tiempo. Los </w:t>
            </w:r>
            <w:r w:rsidR="00520F70" w:rsidRPr="00A35376">
              <w:rPr>
                <w:rFonts w:ascii="Arial" w:hAnsi="Arial" w:cs="Arial"/>
                <w:lang w:val="es-ES"/>
              </w:rPr>
              <w:t xml:space="preserve">actores de la sociedad civil </w:t>
            </w:r>
            <w:r w:rsidRPr="00A35376">
              <w:rPr>
                <w:rFonts w:ascii="Arial" w:hAnsi="Arial" w:cs="Arial"/>
                <w:lang w:val="es-ES"/>
              </w:rPr>
              <w:t>tienen dificultades para mantener operaciones, entregar resultados programáticos y retener al personal. La planificación a largo plazo y la sostenibilidad de los programas se ven gravemente afectadas. Las oportunidades de autonomía financiera, como las donaciones o el voluntariado, son muy limitadas.</w:t>
            </w:r>
          </w:p>
        </w:tc>
      </w:tr>
      <w:tr w:rsidR="00A35376" w:rsidRPr="009B0F1D" w14:paraId="50BACAB5" w14:textId="77777777" w:rsidTr="001F02C0">
        <w:tc>
          <w:tcPr>
            <w:tcW w:w="0" w:type="auto"/>
            <w:hideMark/>
          </w:tcPr>
          <w:p w14:paraId="0059A52A" w14:textId="77777777" w:rsidR="00A35376" w:rsidRPr="00710515" w:rsidRDefault="00A35376"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0A21E0D4" w14:textId="48601132" w:rsidR="00A35376" w:rsidRPr="00710515" w:rsidRDefault="00A35376" w:rsidP="00EC3C5F">
            <w:pPr>
              <w:spacing w:after="120" w:line="276" w:lineRule="auto"/>
              <w:rPr>
                <w:rFonts w:ascii="Arial" w:hAnsi="Arial" w:cs="Arial"/>
                <w:lang w:val="es-ES"/>
              </w:rPr>
            </w:pPr>
            <w:r w:rsidRPr="00A35376">
              <w:rPr>
                <w:rFonts w:ascii="Arial" w:hAnsi="Arial" w:cs="Arial"/>
                <w:lang w:val="es-ES"/>
              </w:rPr>
              <w:t xml:space="preserve">El financiamiento no está garantizado a largo plazo o suele estar limitado a proyectos específicos. Los </w:t>
            </w:r>
            <w:r w:rsidR="00520F70" w:rsidRPr="00A35376">
              <w:rPr>
                <w:rFonts w:ascii="Arial" w:hAnsi="Arial" w:cs="Arial"/>
                <w:lang w:val="es-ES"/>
              </w:rPr>
              <w:t xml:space="preserve">actores de la sociedad civil </w:t>
            </w:r>
            <w:r w:rsidRPr="00A35376">
              <w:rPr>
                <w:rFonts w:ascii="Arial" w:hAnsi="Arial" w:cs="Arial"/>
                <w:lang w:val="es-ES"/>
              </w:rPr>
              <w:t>pueden operar y entregar resultados, pero escalar o sostener iniciativas a lo largo del tiempo sigue siendo un desafío. Existen esfuerzos de autonomía financiera, pero no son suficientes para garantizar la estabilidad financiera.</w:t>
            </w:r>
          </w:p>
        </w:tc>
      </w:tr>
      <w:tr w:rsidR="00A35376" w:rsidRPr="009B0F1D" w14:paraId="02FBCA93" w14:textId="77777777" w:rsidTr="001F02C0">
        <w:tc>
          <w:tcPr>
            <w:tcW w:w="0" w:type="auto"/>
            <w:hideMark/>
          </w:tcPr>
          <w:p w14:paraId="28FF519F" w14:textId="77777777" w:rsidR="00A35376" w:rsidRPr="00710515" w:rsidRDefault="00A35376"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29656BE9" w14:textId="5AD7BE93" w:rsidR="00A35376" w:rsidRPr="00A35376" w:rsidRDefault="00A35376" w:rsidP="00EC3C5F">
            <w:pPr>
              <w:spacing w:after="120" w:line="276" w:lineRule="auto"/>
              <w:rPr>
                <w:rFonts w:ascii="Arial" w:hAnsi="Arial" w:cs="Arial"/>
                <w:lang w:val="es-ES"/>
              </w:rPr>
            </w:pPr>
            <w:r w:rsidRPr="00A35376">
              <w:rPr>
                <w:rFonts w:ascii="Arial" w:hAnsi="Arial" w:cs="Arial"/>
                <w:lang w:val="es-ES"/>
              </w:rPr>
              <w:t xml:space="preserve">El financiamiento es estable y diversificado. Existe algún financiamiento estructural, lo que permite la planificación a largo plazo y la retención de personal. Los </w:t>
            </w:r>
            <w:r w:rsidR="00520F70" w:rsidRPr="00A35376">
              <w:rPr>
                <w:rFonts w:ascii="Arial" w:hAnsi="Arial" w:cs="Arial"/>
                <w:lang w:val="es-ES"/>
              </w:rPr>
              <w:t xml:space="preserve">actores de la sociedad civil </w:t>
            </w:r>
            <w:r w:rsidRPr="00A35376">
              <w:rPr>
                <w:rFonts w:ascii="Arial" w:hAnsi="Arial" w:cs="Arial"/>
                <w:lang w:val="es-ES"/>
              </w:rPr>
              <w:t>pueden complementar sus recursos a través de donaciones, voluntariado o actividades generadoras de ingresos.</w:t>
            </w:r>
          </w:p>
          <w:p w14:paraId="65EAFD14" w14:textId="0E302AB6" w:rsidR="00A35376" w:rsidRPr="00710515" w:rsidRDefault="00A35376" w:rsidP="00EC3C5F">
            <w:pPr>
              <w:spacing w:after="120" w:line="276" w:lineRule="auto"/>
              <w:rPr>
                <w:rFonts w:ascii="Arial" w:hAnsi="Arial" w:cs="Arial"/>
                <w:lang w:val="es-ES"/>
              </w:rPr>
            </w:pPr>
          </w:p>
        </w:tc>
      </w:tr>
      <w:tr w:rsidR="00A35376" w:rsidRPr="009B0F1D" w14:paraId="24482CBC" w14:textId="77777777" w:rsidTr="001F02C0">
        <w:tc>
          <w:tcPr>
            <w:tcW w:w="0" w:type="auto"/>
            <w:hideMark/>
          </w:tcPr>
          <w:p w14:paraId="109728DF" w14:textId="77777777" w:rsidR="00A35376" w:rsidRPr="00710515" w:rsidRDefault="00A35376"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49AD9C0B" w14:textId="028413AC" w:rsidR="00A35376" w:rsidRPr="00710515" w:rsidRDefault="00A35376" w:rsidP="00EC3C5F">
            <w:pPr>
              <w:spacing w:after="120" w:line="276" w:lineRule="auto"/>
              <w:rPr>
                <w:rFonts w:ascii="Arial" w:hAnsi="Arial" w:cs="Arial"/>
                <w:lang w:val="es-ES"/>
              </w:rPr>
            </w:pPr>
            <w:r w:rsidRPr="00A35376">
              <w:rPr>
                <w:rFonts w:ascii="Arial" w:hAnsi="Arial" w:cs="Arial"/>
                <w:lang w:val="es-ES"/>
              </w:rPr>
              <w:t xml:space="preserve">El financiamiento es predecible, diverso y a largo plazo. Los </w:t>
            </w:r>
            <w:r w:rsidR="00520F70" w:rsidRPr="00A35376">
              <w:rPr>
                <w:rFonts w:ascii="Arial" w:hAnsi="Arial" w:cs="Arial"/>
                <w:lang w:val="es-ES"/>
              </w:rPr>
              <w:t xml:space="preserve">actores de la sociedad civil </w:t>
            </w:r>
            <w:r w:rsidRPr="00A35376">
              <w:rPr>
                <w:rFonts w:ascii="Arial" w:hAnsi="Arial" w:cs="Arial"/>
                <w:lang w:val="es-ES"/>
              </w:rPr>
              <w:t>mantienen estabilidad operativa, amplían sus actividades de manera efectiva y logran un impacto sostenible. Los mecanismos sólidos de autonomía financiera, como la recaudación de fondos y las redes de voluntariado, contribuyen a la resiliencia económica.</w:t>
            </w:r>
          </w:p>
        </w:tc>
      </w:tr>
    </w:tbl>
    <w:p w14:paraId="6B647E12" w14:textId="77777777" w:rsidR="00A35376" w:rsidRPr="00A35376" w:rsidRDefault="00A35376" w:rsidP="00EC3C5F">
      <w:pPr>
        <w:spacing w:after="120" w:line="276" w:lineRule="auto"/>
        <w:rPr>
          <w:rFonts w:ascii="Arial" w:hAnsi="Arial" w:cs="Arial"/>
        </w:rPr>
      </w:pPr>
    </w:p>
    <w:p w14:paraId="569BB56C" w14:textId="3EC4E73D" w:rsidR="00A35376" w:rsidRPr="009B0F1D" w:rsidRDefault="00520F70" w:rsidP="00EC3C5F">
      <w:pPr>
        <w:spacing w:after="120" w:line="276" w:lineRule="auto"/>
        <w:rPr>
          <w:rFonts w:ascii="Arial" w:hAnsi="Arial" w:cs="Arial"/>
          <w:color w:val="1F3864" w:themeColor="accent1" w:themeShade="80"/>
        </w:rPr>
      </w:pPr>
      <w:r w:rsidRPr="009B0F1D">
        <w:rPr>
          <w:rFonts w:ascii="Arial" w:hAnsi="Arial" w:cs="Arial"/>
          <w:b/>
          <w:bCs/>
          <w:color w:val="1F3864" w:themeColor="accent1" w:themeShade="80"/>
        </w:rPr>
        <w:t xml:space="preserve">Preguntas </w:t>
      </w:r>
      <w:r w:rsidR="00AF28B3">
        <w:rPr>
          <w:rFonts w:ascii="Arial" w:hAnsi="Arial" w:cs="Arial"/>
          <w:b/>
          <w:bCs/>
          <w:color w:val="1F3864" w:themeColor="accent1" w:themeShade="80"/>
        </w:rPr>
        <w:t>orientadoras</w:t>
      </w:r>
      <w:r w:rsidRPr="009B0F1D">
        <w:rPr>
          <w:rFonts w:ascii="Arial" w:hAnsi="Arial" w:cs="Arial"/>
          <w:b/>
          <w:bCs/>
          <w:color w:val="1F3864" w:themeColor="accent1" w:themeShade="80"/>
        </w:rPr>
        <w:t xml:space="preserve"> para el Principio 4:</w:t>
      </w:r>
      <w:r w:rsidRPr="009B0F1D">
        <w:rPr>
          <w:rFonts w:ascii="Arial" w:hAnsi="Arial" w:cs="Arial"/>
          <w:color w:val="1F3864" w:themeColor="accent1" w:themeShade="80"/>
        </w:rPr>
        <w:t xml:space="preserve"> Estado abierto y responsivo.</w:t>
      </w:r>
    </w:p>
    <w:p w14:paraId="0835C35F" w14:textId="77777777" w:rsidR="00C3296C" w:rsidRPr="00C3296C" w:rsidRDefault="00C3296C" w:rsidP="00C3296C">
      <w:pPr>
        <w:spacing w:after="120" w:line="276" w:lineRule="auto"/>
        <w:rPr>
          <w:rFonts w:ascii="Arial" w:hAnsi="Arial" w:cs="Arial"/>
          <w:b/>
          <w:bCs/>
          <w:lang w:val="es-UY"/>
        </w:rPr>
      </w:pPr>
      <w:r w:rsidRPr="00C3296C">
        <w:rPr>
          <w:rFonts w:ascii="Arial" w:hAnsi="Arial" w:cs="Arial"/>
          <w:b/>
          <w:bCs/>
          <w:lang w:val="es-UY"/>
        </w:rPr>
        <w:t>4.1 | Transparencia</w:t>
      </w:r>
    </w:p>
    <w:p w14:paraId="1194B5D5" w14:textId="77777777" w:rsidR="00C3296C" w:rsidRPr="00C3296C" w:rsidRDefault="00C3296C" w:rsidP="00C3296C">
      <w:pPr>
        <w:spacing w:after="120" w:line="276" w:lineRule="auto"/>
        <w:rPr>
          <w:rFonts w:ascii="Arial" w:hAnsi="Arial" w:cs="Arial"/>
          <w:b/>
          <w:bCs/>
          <w:lang w:val="es-UY"/>
        </w:rPr>
      </w:pPr>
      <w:r w:rsidRPr="00C3296C">
        <w:rPr>
          <w:rFonts w:ascii="Arial" w:hAnsi="Arial" w:cs="Arial"/>
          <w:b/>
          <w:bCs/>
          <w:lang w:val="es-UY"/>
        </w:rPr>
        <w:t>Preguntas:</w:t>
      </w:r>
    </w:p>
    <w:p w14:paraId="11106733" w14:textId="77777777" w:rsidR="00C3296C" w:rsidRPr="00C3296C" w:rsidRDefault="00C3296C" w:rsidP="00C3296C">
      <w:pPr>
        <w:numPr>
          <w:ilvl w:val="0"/>
          <w:numId w:val="36"/>
        </w:numPr>
        <w:spacing w:after="120" w:line="276" w:lineRule="auto"/>
        <w:rPr>
          <w:rFonts w:ascii="Arial" w:hAnsi="Arial" w:cs="Arial"/>
          <w:lang w:val="es-UY"/>
        </w:rPr>
      </w:pPr>
      <w:r w:rsidRPr="00C3296C">
        <w:rPr>
          <w:rFonts w:ascii="Arial" w:hAnsi="Arial" w:cs="Arial"/>
          <w:lang w:val="es-UY"/>
        </w:rPr>
        <w:t>¿El marco legal a nivel nacional, provincial y local reconoce el derecho de todas las personas y organizaciones a acceder a la información en poder de instituciones públicas o entidades privadas que cumplen funciones públicas? ¿Se publica esta información de manera proactiva, oportuna y accesible en plataformas digitales y en línea?</w:t>
      </w:r>
    </w:p>
    <w:p w14:paraId="3D53D98F" w14:textId="77777777" w:rsidR="00C3296C" w:rsidRPr="00C3296C" w:rsidRDefault="00C3296C" w:rsidP="00C3296C">
      <w:pPr>
        <w:numPr>
          <w:ilvl w:val="0"/>
          <w:numId w:val="36"/>
        </w:numPr>
        <w:spacing w:after="120" w:line="276" w:lineRule="auto"/>
        <w:rPr>
          <w:rFonts w:ascii="Arial" w:hAnsi="Arial" w:cs="Arial"/>
          <w:lang w:val="es-UY"/>
        </w:rPr>
      </w:pPr>
      <w:r w:rsidRPr="00C3296C">
        <w:rPr>
          <w:rFonts w:ascii="Arial" w:hAnsi="Arial" w:cs="Arial"/>
          <w:lang w:val="es-UY"/>
        </w:rPr>
        <w:lastRenderedPageBreak/>
        <w:t>¿Las instituciones públicas están legalmente obligadas a publicar información detallada sobre la toma de decisiones, como borradores de leyes, políticas, presupuestos e informes de auditoría, de manera oportuna y en formatos accesibles?</w:t>
      </w:r>
    </w:p>
    <w:p w14:paraId="54CE081B" w14:textId="77777777" w:rsidR="00C3296C" w:rsidRPr="00C3296C" w:rsidRDefault="00C3296C" w:rsidP="00C3296C">
      <w:pPr>
        <w:numPr>
          <w:ilvl w:val="0"/>
          <w:numId w:val="36"/>
        </w:numPr>
        <w:spacing w:after="120" w:line="276" w:lineRule="auto"/>
        <w:rPr>
          <w:rFonts w:ascii="Arial" w:hAnsi="Arial" w:cs="Arial"/>
          <w:lang w:val="es-UY"/>
        </w:rPr>
      </w:pPr>
      <w:r w:rsidRPr="00C3296C">
        <w:rPr>
          <w:rFonts w:ascii="Arial" w:hAnsi="Arial" w:cs="Arial"/>
          <w:lang w:val="es-UY"/>
        </w:rPr>
        <w:t>¿Existen procedimientos claros, simples y accesibles para presentar solicitudes de acceso a la información, incluidos costos razonables o exenciones para grupos vulnerables? ¿Las solicitudes se procesan de manera consistente dentro de los plazos legales?</w:t>
      </w:r>
    </w:p>
    <w:p w14:paraId="7F19E6BF" w14:textId="77777777" w:rsidR="00C3296C" w:rsidRDefault="00C3296C" w:rsidP="00C3296C">
      <w:pPr>
        <w:numPr>
          <w:ilvl w:val="0"/>
          <w:numId w:val="36"/>
        </w:numPr>
        <w:spacing w:after="120" w:line="276" w:lineRule="auto"/>
        <w:rPr>
          <w:rFonts w:ascii="Arial" w:hAnsi="Arial" w:cs="Arial"/>
          <w:lang w:val="es-UY"/>
        </w:rPr>
      </w:pPr>
      <w:r w:rsidRPr="00C3296C">
        <w:rPr>
          <w:rFonts w:ascii="Arial" w:hAnsi="Arial" w:cs="Arial"/>
          <w:lang w:val="es-UY"/>
        </w:rPr>
        <w:t>¿Existen protecciones legales contra la denegación injustificada de acceso a la información, incluidos requisitos claros para justificar restricciones, mecanismos de apelación y sanciones por incumplimiento?</w:t>
      </w:r>
    </w:p>
    <w:p w14:paraId="2C287D2F" w14:textId="77777777" w:rsidR="00C3296C" w:rsidRPr="00C3296C" w:rsidRDefault="00C3296C" w:rsidP="003D2B1D">
      <w:pPr>
        <w:spacing w:after="120" w:line="276" w:lineRule="auto"/>
        <w:ind w:left="720"/>
        <w:rPr>
          <w:rFonts w:ascii="Arial" w:hAnsi="Arial" w:cs="Arial"/>
          <w:lang w:val="es-UY"/>
        </w:rPr>
      </w:pPr>
    </w:p>
    <w:tbl>
      <w:tblPr>
        <w:tblStyle w:val="TableGrid"/>
        <w:tblW w:w="0" w:type="auto"/>
        <w:tblLook w:val="04A0" w:firstRow="1" w:lastRow="0" w:firstColumn="1" w:lastColumn="0" w:noHBand="0" w:noVBand="1"/>
      </w:tblPr>
      <w:tblGrid>
        <w:gridCol w:w="1830"/>
        <w:gridCol w:w="6664"/>
      </w:tblGrid>
      <w:tr w:rsidR="00C3296C" w:rsidRPr="009B0F1D" w14:paraId="298745DA" w14:textId="77777777" w:rsidTr="00F4471C">
        <w:tc>
          <w:tcPr>
            <w:tcW w:w="0" w:type="auto"/>
            <w:hideMark/>
          </w:tcPr>
          <w:p w14:paraId="08729E09" w14:textId="77777777" w:rsidR="00C3296C" w:rsidRPr="00710515" w:rsidRDefault="00C3296C" w:rsidP="00F4471C">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30257F09" w14:textId="77777777" w:rsidR="00C3296C" w:rsidRPr="00710515" w:rsidRDefault="00C3296C" w:rsidP="00F4471C">
            <w:pPr>
              <w:spacing w:after="120" w:line="276" w:lineRule="auto"/>
              <w:rPr>
                <w:rFonts w:ascii="Arial" w:hAnsi="Arial" w:cs="Arial"/>
                <w:b/>
                <w:bCs/>
                <w:lang w:val="es-ES"/>
              </w:rPr>
            </w:pPr>
            <w:r w:rsidRPr="00710515">
              <w:rPr>
                <w:rFonts w:ascii="Arial" w:hAnsi="Arial" w:cs="Arial"/>
                <w:b/>
                <w:bCs/>
                <w:lang w:val="es-ES"/>
              </w:rPr>
              <w:t>Descripción</w:t>
            </w:r>
          </w:p>
        </w:tc>
      </w:tr>
      <w:tr w:rsidR="00C3296C" w:rsidRPr="009B0F1D" w14:paraId="5E7BCE25" w14:textId="77777777" w:rsidTr="00F4471C">
        <w:tc>
          <w:tcPr>
            <w:tcW w:w="0" w:type="auto"/>
            <w:hideMark/>
          </w:tcPr>
          <w:p w14:paraId="458F7DE8" w14:textId="77777777" w:rsidR="00C3296C" w:rsidRPr="00710515" w:rsidRDefault="00C3296C" w:rsidP="00F4471C">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2CDE1296" w14:textId="14CB0293" w:rsidR="00C3296C" w:rsidRPr="00710515" w:rsidRDefault="001B1D70" w:rsidP="00F4471C">
            <w:pPr>
              <w:spacing w:after="120" w:line="276" w:lineRule="auto"/>
              <w:rPr>
                <w:rFonts w:ascii="Arial" w:hAnsi="Arial" w:cs="Arial"/>
                <w:lang w:val="es-ES"/>
              </w:rPr>
            </w:pPr>
            <w:r w:rsidRPr="001B1D70">
              <w:rPr>
                <w:rFonts w:ascii="Arial" w:hAnsi="Arial" w:cs="Arial"/>
                <w:lang w:val="es-ES"/>
              </w:rPr>
              <w:t>No hay requisitos legales para que las instituciones públicas publiquen información sobre sus procesos de toma de decisiones, o estos no se aplican. La información pública no se publica de manera oportuna ni es de fácil acceso. No se reconoce el derecho a acceder a la información. No existen procedimientos para presentar solicitudes de acceso a la información (FOI) o estas son ignoradas.</w:t>
            </w:r>
          </w:p>
        </w:tc>
      </w:tr>
      <w:tr w:rsidR="00C3296C" w:rsidRPr="009B0F1D" w14:paraId="67F64F76" w14:textId="77777777" w:rsidTr="00F4471C">
        <w:tc>
          <w:tcPr>
            <w:tcW w:w="0" w:type="auto"/>
            <w:hideMark/>
          </w:tcPr>
          <w:p w14:paraId="4EA0507C" w14:textId="77777777" w:rsidR="00C3296C" w:rsidRPr="00710515" w:rsidRDefault="00C3296C" w:rsidP="00F4471C">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773C863A" w14:textId="556B00AE" w:rsidR="00C3296C" w:rsidRPr="00710515" w:rsidRDefault="001B1D70" w:rsidP="00F4471C">
            <w:pPr>
              <w:spacing w:after="120" w:line="276" w:lineRule="auto"/>
              <w:rPr>
                <w:rFonts w:ascii="Arial" w:hAnsi="Arial" w:cs="Arial"/>
                <w:lang w:val="es-ES"/>
              </w:rPr>
            </w:pPr>
            <w:r w:rsidRPr="001B1D70">
              <w:rPr>
                <w:rFonts w:ascii="Arial" w:hAnsi="Arial" w:cs="Arial"/>
                <w:lang w:val="es-ES"/>
              </w:rPr>
              <w:t>El marco legal reconoce un derecho limitado al acceso a la información, pero con severas restricciones en cuanto a quién puede acceder, qué instituciones deben proporcionarla y cómo se puede solicitar. Los procedimientos para presentar solicitudes FOI son poco claros o inaccesibles.</w:t>
            </w:r>
          </w:p>
        </w:tc>
      </w:tr>
      <w:tr w:rsidR="00C3296C" w:rsidRPr="009B0F1D" w14:paraId="46017DBB" w14:textId="77777777" w:rsidTr="00F4471C">
        <w:tc>
          <w:tcPr>
            <w:tcW w:w="0" w:type="auto"/>
            <w:hideMark/>
          </w:tcPr>
          <w:p w14:paraId="6F534D63" w14:textId="77777777" w:rsidR="00C3296C" w:rsidRPr="00710515" w:rsidRDefault="00C3296C" w:rsidP="00F4471C">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6F37AD55" w14:textId="08E10C77" w:rsidR="00C3296C" w:rsidRPr="00710515" w:rsidRDefault="001B1D70" w:rsidP="00F4471C">
            <w:pPr>
              <w:spacing w:after="120" w:line="276" w:lineRule="auto"/>
              <w:rPr>
                <w:rFonts w:ascii="Arial" w:hAnsi="Arial" w:cs="Arial"/>
                <w:lang w:val="es-ES"/>
              </w:rPr>
            </w:pPr>
            <w:r w:rsidRPr="001B1D70">
              <w:rPr>
                <w:rFonts w:ascii="Arial" w:hAnsi="Arial" w:cs="Arial"/>
                <w:lang w:val="es-ES"/>
              </w:rPr>
              <w:t>Existen requisitos legales para la publicación de información pública, pero la implementación es inconsistente. Se dispone de alguna información, pero no siempre de manera oportuna, en línea o en varios idiomas. Los procedimientos para las solicitudes FOI existen, pero son complejos y presentan demoras o respuestas incompletas. Las justificaciones para las restricciones no siempre son transparentes.</w:t>
            </w:r>
          </w:p>
        </w:tc>
      </w:tr>
      <w:tr w:rsidR="00C3296C" w:rsidRPr="009B0F1D" w14:paraId="4D6F93E4" w14:textId="77777777" w:rsidTr="00F4471C">
        <w:tc>
          <w:tcPr>
            <w:tcW w:w="0" w:type="auto"/>
            <w:hideMark/>
          </w:tcPr>
          <w:p w14:paraId="42413F7B" w14:textId="77777777" w:rsidR="00C3296C" w:rsidRPr="00710515" w:rsidRDefault="00C3296C" w:rsidP="00F4471C">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5C2D35A3" w14:textId="5ABE446D" w:rsidR="00C3296C" w:rsidRPr="00710515" w:rsidRDefault="00F46653" w:rsidP="00F4471C">
            <w:pPr>
              <w:spacing w:after="120" w:line="276" w:lineRule="auto"/>
              <w:rPr>
                <w:rFonts w:ascii="Arial" w:hAnsi="Arial" w:cs="Arial"/>
                <w:lang w:val="es-ES"/>
              </w:rPr>
            </w:pPr>
            <w:r w:rsidRPr="00F46653">
              <w:rPr>
                <w:rFonts w:ascii="Arial" w:hAnsi="Arial" w:cs="Arial"/>
                <w:lang w:val="es-ES"/>
              </w:rPr>
              <w:t>La información pública suele estar disponible de manera oportuna, incluso a nivel local. El marco legal reconoce el derecho al acceso a la información, y los procedimientos de solicitud FOI son claros. Sin embargo, hay inconsistencias en la accesibilidad, y las solicitudes pueden retrasarse o ser denegadas, especialmente para grupos marginados.</w:t>
            </w:r>
          </w:p>
        </w:tc>
      </w:tr>
      <w:tr w:rsidR="00C3296C" w:rsidRPr="009B0F1D" w14:paraId="504953E9" w14:textId="77777777" w:rsidTr="00F4471C">
        <w:tc>
          <w:tcPr>
            <w:tcW w:w="0" w:type="auto"/>
            <w:hideMark/>
          </w:tcPr>
          <w:p w14:paraId="4C897E53" w14:textId="77777777" w:rsidR="00C3296C" w:rsidRPr="00710515" w:rsidRDefault="00C3296C" w:rsidP="00F4471C">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51C01097" w14:textId="4DE7F2EC" w:rsidR="00C3296C" w:rsidRPr="00710515" w:rsidRDefault="00F46653" w:rsidP="00F4471C">
            <w:pPr>
              <w:spacing w:after="120" w:line="276" w:lineRule="auto"/>
              <w:rPr>
                <w:rFonts w:ascii="Arial" w:hAnsi="Arial" w:cs="Arial"/>
                <w:lang w:val="es-ES"/>
              </w:rPr>
            </w:pPr>
            <w:r w:rsidRPr="00F46653">
              <w:rPr>
                <w:rFonts w:ascii="Arial" w:hAnsi="Arial" w:cs="Arial"/>
                <w:lang w:val="es-ES"/>
              </w:rPr>
              <w:t xml:space="preserve">Se garantiza la publicación de información pública de manera integral y oportuna en formatos accesibles. El derecho de acceso a la información está plenamente reconocido a todos los niveles (local/nacional). Las solicitudes FOI se procesan de manera eficiente, con mecanismos de apelación claros y sanciones por incumplimiento. Las instituciones públicas procesan las </w:t>
            </w:r>
            <w:r w:rsidRPr="00F46653">
              <w:rPr>
                <w:rFonts w:ascii="Arial" w:hAnsi="Arial" w:cs="Arial"/>
                <w:lang w:val="es-ES"/>
              </w:rPr>
              <w:lastRenderedPageBreak/>
              <w:t>solicitudes dentro del plazo legal, proporcionando información completa, precisa y relevante.</w:t>
            </w:r>
          </w:p>
        </w:tc>
      </w:tr>
    </w:tbl>
    <w:p w14:paraId="0205E40F" w14:textId="2BCFC64A" w:rsidR="00F46653" w:rsidRDefault="00F46653" w:rsidP="00EC3C5F">
      <w:pPr>
        <w:spacing w:after="120" w:line="276" w:lineRule="auto"/>
        <w:rPr>
          <w:rFonts w:ascii="Arial" w:hAnsi="Arial" w:cs="Arial"/>
        </w:rPr>
      </w:pPr>
    </w:p>
    <w:p w14:paraId="6EB605A4" w14:textId="77777777" w:rsidR="00C94DBC" w:rsidRPr="00C94DBC" w:rsidRDefault="00C94DBC" w:rsidP="00C94DBC">
      <w:pPr>
        <w:spacing w:after="120" w:line="276" w:lineRule="auto"/>
        <w:rPr>
          <w:rFonts w:ascii="Arial" w:hAnsi="Arial" w:cs="Arial"/>
          <w:b/>
          <w:bCs/>
          <w:lang w:val="es-UY"/>
        </w:rPr>
      </w:pPr>
      <w:r w:rsidRPr="00C94DBC">
        <w:rPr>
          <w:rFonts w:ascii="Arial" w:hAnsi="Arial" w:cs="Arial"/>
          <w:b/>
          <w:bCs/>
          <w:lang w:val="es-UY"/>
        </w:rPr>
        <w:t>4.2 | Participación</w:t>
      </w:r>
    </w:p>
    <w:p w14:paraId="5803683A" w14:textId="77777777" w:rsidR="00C94DBC" w:rsidRPr="00C94DBC" w:rsidRDefault="00C94DBC" w:rsidP="00C94DBC">
      <w:pPr>
        <w:spacing w:after="120" w:line="276" w:lineRule="auto"/>
        <w:rPr>
          <w:rFonts w:ascii="Arial" w:hAnsi="Arial" w:cs="Arial"/>
          <w:b/>
          <w:bCs/>
          <w:lang w:val="es-UY"/>
        </w:rPr>
      </w:pPr>
      <w:r w:rsidRPr="00C94DBC">
        <w:rPr>
          <w:rFonts w:ascii="Arial" w:hAnsi="Arial" w:cs="Arial"/>
          <w:b/>
          <w:bCs/>
          <w:lang w:val="es-UY"/>
        </w:rPr>
        <w:t>Preguntas:</w:t>
      </w:r>
    </w:p>
    <w:p w14:paraId="15C25875" w14:textId="77777777" w:rsidR="00C94DBC" w:rsidRPr="00C94DBC" w:rsidRDefault="00C94DBC" w:rsidP="00C94DBC">
      <w:pPr>
        <w:numPr>
          <w:ilvl w:val="0"/>
          <w:numId w:val="37"/>
        </w:numPr>
        <w:spacing w:after="120" w:line="276" w:lineRule="auto"/>
        <w:rPr>
          <w:rFonts w:ascii="Arial" w:hAnsi="Arial" w:cs="Arial"/>
          <w:lang w:val="es-UY"/>
        </w:rPr>
      </w:pPr>
      <w:r w:rsidRPr="00C94DBC">
        <w:rPr>
          <w:rFonts w:ascii="Arial" w:hAnsi="Arial" w:cs="Arial"/>
          <w:lang w:val="es-UY"/>
        </w:rPr>
        <w:t>¿En qué medida los actores de la sociedad civil (CS) son consultados por los responsables políticos y líderes sobre políticas y decisiones relevantes para sus áreas de experiencia y representación? ¿Se les brinda oportunidades reales de influir en la toma de decisiones, o solo se les consulta de manera simbólica?</w:t>
      </w:r>
    </w:p>
    <w:p w14:paraId="5BC83CBF" w14:textId="77777777" w:rsidR="00C94DBC" w:rsidRPr="00C94DBC" w:rsidRDefault="00C94DBC" w:rsidP="00C94DBC">
      <w:pPr>
        <w:numPr>
          <w:ilvl w:val="0"/>
          <w:numId w:val="37"/>
        </w:numPr>
        <w:spacing w:after="120" w:line="276" w:lineRule="auto"/>
        <w:rPr>
          <w:rFonts w:ascii="Arial" w:hAnsi="Arial" w:cs="Arial"/>
          <w:lang w:val="es-UY"/>
        </w:rPr>
      </w:pPr>
      <w:r w:rsidRPr="00C94DBC">
        <w:rPr>
          <w:rFonts w:ascii="Arial" w:hAnsi="Arial" w:cs="Arial"/>
          <w:lang w:val="es-UY"/>
        </w:rPr>
        <w:t>¿Pueden los actores de la sociedad civil participar en consultas sin discriminación, independientemente de su tipo o de su postura frente al gobierno?</w:t>
      </w:r>
    </w:p>
    <w:p w14:paraId="2BCF46BA" w14:textId="77777777" w:rsidR="00C94DBC" w:rsidRPr="00C94DBC" w:rsidRDefault="00C94DBC" w:rsidP="00C94DBC">
      <w:pPr>
        <w:numPr>
          <w:ilvl w:val="0"/>
          <w:numId w:val="37"/>
        </w:numPr>
        <w:spacing w:after="120" w:line="276" w:lineRule="auto"/>
        <w:rPr>
          <w:rFonts w:ascii="Arial" w:hAnsi="Arial" w:cs="Arial"/>
          <w:lang w:val="es-UY"/>
        </w:rPr>
      </w:pPr>
      <w:r w:rsidRPr="00C94DBC">
        <w:rPr>
          <w:rFonts w:ascii="Arial" w:hAnsi="Arial" w:cs="Arial"/>
          <w:lang w:val="es-UY"/>
        </w:rPr>
        <w:t>¿Se invita a los actores de la sociedad civil a contribuir en las primeras etapas del proceso de toma de decisiones y se les otorga el tiempo adecuado para proporcionar aportes significativos?</w:t>
      </w:r>
    </w:p>
    <w:p w14:paraId="49D91128" w14:textId="77777777" w:rsidR="00C94DBC" w:rsidRPr="00C94DBC" w:rsidRDefault="00C94DBC" w:rsidP="00C94DBC">
      <w:pPr>
        <w:numPr>
          <w:ilvl w:val="0"/>
          <w:numId w:val="37"/>
        </w:numPr>
        <w:spacing w:after="120" w:line="276" w:lineRule="auto"/>
        <w:rPr>
          <w:rFonts w:ascii="Arial" w:hAnsi="Arial" w:cs="Arial"/>
          <w:lang w:val="es-UY"/>
        </w:rPr>
      </w:pPr>
      <w:r w:rsidRPr="00C94DBC">
        <w:rPr>
          <w:rFonts w:ascii="Arial" w:hAnsi="Arial" w:cs="Arial"/>
          <w:lang w:val="es-UY"/>
        </w:rPr>
        <w:t>¿Existen opciones de participación (en línea, presencial o ambas) accesibles y efectivas para los actores de la sociedad civil?</w:t>
      </w:r>
    </w:p>
    <w:p w14:paraId="715DB978" w14:textId="77777777" w:rsidR="00C94DBC" w:rsidRDefault="00C94DBC" w:rsidP="00EC3C5F">
      <w:pPr>
        <w:spacing w:after="120" w:line="276" w:lineRule="auto"/>
        <w:rPr>
          <w:rFonts w:ascii="Arial" w:hAnsi="Arial" w:cs="Arial"/>
          <w:lang w:val="es-UY"/>
        </w:rPr>
      </w:pPr>
    </w:p>
    <w:tbl>
      <w:tblPr>
        <w:tblStyle w:val="TableGrid"/>
        <w:tblW w:w="0" w:type="auto"/>
        <w:tblLook w:val="04A0" w:firstRow="1" w:lastRow="0" w:firstColumn="1" w:lastColumn="0" w:noHBand="0" w:noVBand="1"/>
      </w:tblPr>
      <w:tblGrid>
        <w:gridCol w:w="1822"/>
        <w:gridCol w:w="6672"/>
      </w:tblGrid>
      <w:tr w:rsidR="003D2B1D" w:rsidRPr="00710515" w14:paraId="746651FE" w14:textId="77777777" w:rsidTr="00F4471C">
        <w:tc>
          <w:tcPr>
            <w:tcW w:w="0" w:type="auto"/>
            <w:hideMark/>
          </w:tcPr>
          <w:p w14:paraId="3C6F3823" w14:textId="77777777" w:rsidR="003D2B1D" w:rsidRPr="00710515" w:rsidRDefault="003D2B1D" w:rsidP="00F4471C">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11C958F4" w14:textId="77777777" w:rsidR="003D2B1D" w:rsidRPr="00710515" w:rsidRDefault="003D2B1D" w:rsidP="00F4471C">
            <w:pPr>
              <w:spacing w:after="120" w:line="276" w:lineRule="auto"/>
              <w:rPr>
                <w:rFonts w:ascii="Arial" w:hAnsi="Arial" w:cs="Arial"/>
                <w:b/>
                <w:bCs/>
                <w:lang w:val="es-ES"/>
              </w:rPr>
            </w:pPr>
            <w:r w:rsidRPr="00710515">
              <w:rPr>
                <w:rFonts w:ascii="Arial" w:hAnsi="Arial" w:cs="Arial"/>
                <w:b/>
                <w:bCs/>
                <w:lang w:val="es-ES"/>
              </w:rPr>
              <w:t>Descripción</w:t>
            </w:r>
          </w:p>
        </w:tc>
      </w:tr>
      <w:tr w:rsidR="003D2B1D" w:rsidRPr="00710515" w14:paraId="32EF1323" w14:textId="77777777" w:rsidTr="00F4471C">
        <w:tc>
          <w:tcPr>
            <w:tcW w:w="0" w:type="auto"/>
            <w:hideMark/>
          </w:tcPr>
          <w:p w14:paraId="146476CF"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6D2EAEA6" w14:textId="66CC1772" w:rsidR="003D2B1D" w:rsidRPr="00710515" w:rsidRDefault="004A51DF" w:rsidP="00F4471C">
            <w:pPr>
              <w:spacing w:after="120" w:line="276" w:lineRule="auto"/>
              <w:rPr>
                <w:rFonts w:ascii="Arial" w:hAnsi="Arial" w:cs="Arial"/>
                <w:lang w:val="es-ES"/>
              </w:rPr>
            </w:pPr>
            <w:r w:rsidRPr="004A51DF">
              <w:rPr>
                <w:rFonts w:ascii="Arial" w:hAnsi="Arial" w:cs="Arial"/>
                <w:lang w:val="es-ES"/>
              </w:rPr>
              <w:t>Los actores de la sociedad civil no tienen oportunidad de participar en los procesos de toma de decisiones. Son excluidos de las consultas y su opinión no se tiene en cuenta. Incluso si la participación está disponible, enfrentan restricciones severas para expresar sus puntos de vista o influir en las decisiones.</w:t>
            </w:r>
          </w:p>
        </w:tc>
      </w:tr>
      <w:tr w:rsidR="003D2B1D" w:rsidRPr="00710515" w14:paraId="0BB6F6CD" w14:textId="77777777" w:rsidTr="00F4471C">
        <w:tc>
          <w:tcPr>
            <w:tcW w:w="0" w:type="auto"/>
            <w:hideMark/>
          </w:tcPr>
          <w:p w14:paraId="18BDF0DF" w14:textId="77777777" w:rsidR="003D2B1D" w:rsidRPr="00710515" w:rsidRDefault="003D2B1D" w:rsidP="00F4471C">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49CE559B" w14:textId="2F38F78F" w:rsidR="003D2B1D" w:rsidRPr="00710515" w:rsidRDefault="004A51DF" w:rsidP="00F4471C">
            <w:pPr>
              <w:spacing w:after="120" w:line="276" w:lineRule="auto"/>
              <w:rPr>
                <w:rFonts w:ascii="Arial" w:hAnsi="Arial" w:cs="Arial"/>
                <w:lang w:val="es-ES"/>
              </w:rPr>
            </w:pPr>
            <w:r w:rsidRPr="004A51DF">
              <w:rPr>
                <w:rFonts w:ascii="Arial" w:hAnsi="Arial" w:cs="Arial"/>
                <w:lang w:val="es-ES"/>
              </w:rPr>
              <w:t>Los actores de la sociedad civil rara vez participan en los procesos de toma de decisiones relevantes para sus miembros. Son consultados de manera infrecuente e irregular. Las consultas son altamente selectivas y excluyentes, y se discrimina a muchos actores según su tipo o postura frente al gobierno. Las consultas se llevan a cabo en el último minuto, sin tiempo real para retroalimentación.</w:t>
            </w:r>
          </w:p>
        </w:tc>
      </w:tr>
      <w:tr w:rsidR="003D2B1D" w:rsidRPr="00710515" w14:paraId="1F2699CE" w14:textId="77777777" w:rsidTr="00F4471C">
        <w:tc>
          <w:tcPr>
            <w:tcW w:w="0" w:type="auto"/>
            <w:hideMark/>
          </w:tcPr>
          <w:p w14:paraId="0526C1A3"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3ADF2F4E" w14:textId="2193A76E" w:rsidR="003D2B1D" w:rsidRPr="00710515" w:rsidRDefault="004A51DF" w:rsidP="00F4471C">
            <w:pPr>
              <w:spacing w:after="120" w:line="276" w:lineRule="auto"/>
              <w:rPr>
                <w:rFonts w:ascii="Arial" w:hAnsi="Arial" w:cs="Arial"/>
                <w:lang w:val="es-ES"/>
              </w:rPr>
            </w:pPr>
            <w:r w:rsidRPr="004A51DF">
              <w:rPr>
                <w:rFonts w:ascii="Arial" w:hAnsi="Arial" w:cs="Arial"/>
                <w:lang w:val="es-ES"/>
              </w:rPr>
              <w:t>Los actores de la sociedad civil son consultados ocasionalmente, pero de manera limitada y selectiva. Persisten formas de discriminación que excluyen a ciertos actores. Aunque pueden ser invitados a contribuir, no se les otorga suficiente tiempo para ofrecer aportes significativos. La participación puede ser superficial.</w:t>
            </w:r>
          </w:p>
        </w:tc>
      </w:tr>
      <w:tr w:rsidR="003D2B1D" w:rsidRPr="00710515" w14:paraId="30665C5B" w14:textId="77777777" w:rsidTr="00F4471C">
        <w:tc>
          <w:tcPr>
            <w:tcW w:w="0" w:type="auto"/>
            <w:hideMark/>
          </w:tcPr>
          <w:p w14:paraId="26E73ED7"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10629121" w14:textId="00C79846" w:rsidR="003D2B1D" w:rsidRPr="004A51DF" w:rsidRDefault="004A51DF" w:rsidP="004A51DF">
            <w:pPr>
              <w:spacing w:after="120" w:line="276" w:lineRule="auto"/>
              <w:rPr>
                <w:rFonts w:ascii="Arial" w:hAnsi="Arial" w:cs="Arial"/>
                <w:lang w:val="es-UY"/>
              </w:rPr>
            </w:pPr>
            <w:r w:rsidRPr="004A51DF">
              <w:rPr>
                <w:rFonts w:ascii="Arial" w:hAnsi="Arial" w:cs="Arial"/>
                <w:lang w:val="es-UY"/>
              </w:rPr>
              <w:t xml:space="preserve">Los actores de la sociedad civil generalmente están incluidos en los procesos de toma de decisiones y participan con un nivel razonable de inclusión y equidad. Se hacen esfuerzos para incluir a un amplio rango de actores, aunque pueden existir limitaciones </w:t>
            </w:r>
            <w:r w:rsidRPr="004A51DF">
              <w:rPr>
                <w:rFonts w:ascii="Arial" w:hAnsi="Arial" w:cs="Arial"/>
                <w:lang w:val="es-UY"/>
              </w:rPr>
              <w:lastRenderedPageBreak/>
              <w:t>ocasionales en el tiempo de retroalimentación o en la influencia de su participación.</w:t>
            </w:r>
          </w:p>
        </w:tc>
      </w:tr>
      <w:tr w:rsidR="003D2B1D" w:rsidRPr="00710515" w14:paraId="78082AB0" w14:textId="77777777" w:rsidTr="00F4471C">
        <w:tc>
          <w:tcPr>
            <w:tcW w:w="0" w:type="auto"/>
            <w:hideMark/>
          </w:tcPr>
          <w:p w14:paraId="61F1DFD4"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lastRenderedPageBreak/>
              <w:t>Totalmente habilitante (5)</w:t>
            </w:r>
          </w:p>
        </w:tc>
        <w:tc>
          <w:tcPr>
            <w:tcW w:w="0" w:type="auto"/>
          </w:tcPr>
          <w:p w14:paraId="1724C0E1" w14:textId="6800D74A" w:rsidR="003D2B1D" w:rsidRPr="00710515" w:rsidRDefault="007D4989" w:rsidP="00F4471C">
            <w:pPr>
              <w:spacing w:after="120" w:line="276" w:lineRule="auto"/>
              <w:rPr>
                <w:rFonts w:ascii="Arial" w:hAnsi="Arial" w:cs="Arial"/>
                <w:lang w:val="es-ES"/>
              </w:rPr>
            </w:pPr>
            <w:r w:rsidRPr="007D4989">
              <w:rPr>
                <w:rFonts w:ascii="Arial" w:hAnsi="Arial" w:cs="Arial"/>
                <w:lang w:val="es-ES"/>
              </w:rPr>
              <w:t>Los actores de la sociedad civil participan regularmente y de manera abierta en la toma de decisiones. Se han establecido mecanismos sólidos para asegurar que sus diversas perspectivas sean tomadas en cuenta. No hay discriminación o intimidación en la participación. Se invita a los actores de la sociedad civil desde las primeras etapas del proceso y se les otorga tiempo suficiente para contribuir de manera significativa.</w:t>
            </w:r>
          </w:p>
        </w:tc>
      </w:tr>
    </w:tbl>
    <w:p w14:paraId="1797FA6F" w14:textId="05A2E036" w:rsidR="003D2B1D" w:rsidRDefault="003D2B1D" w:rsidP="00EC3C5F">
      <w:pPr>
        <w:spacing w:after="120" w:line="276" w:lineRule="auto"/>
        <w:rPr>
          <w:rFonts w:ascii="Arial" w:hAnsi="Arial" w:cs="Arial"/>
        </w:rPr>
      </w:pPr>
    </w:p>
    <w:p w14:paraId="45882FAB" w14:textId="77777777" w:rsidR="007D4989" w:rsidRPr="007D4989" w:rsidRDefault="007D4989" w:rsidP="007D4989">
      <w:pPr>
        <w:spacing w:after="120" w:line="276" w:lineRule="auto"/>
        <w:rPr>
          <w:rFonts w:ascii="Arial" w:hAnsi="Arial" w:cs="Arial"/>
          <w:b/>
          <w:bCs/>
          <w:lang w:val="es-UY"/>
        </w:rPr>
      </w:pPr>
      <w:r w:rsidRPr="007D4989">
        <w:rPr>
          <w:rFonts w:ascii="Arial" w:hAnsi="Arial" w:cs="Arial"/>
          <w:b/>
          <w:bCs/>
          <w:lang w:val="es-UY"/>
        </w:rPr>
        <w:t>4.3 | Rendición de cuentas</w:t>
      </w:r>
    </w:p>
    <w:p w14:paraId="1499834C" w14:textId="77777777" w:rsidR="007D4989" w:rsidRPr="007D4989" w:rsidRDefault="007D4989" w:rsidP="007D4989">
      <w:pPr>
        <w:spacing w:after="120" w:line="276" w:lineRule="auto"/>
        <w:rPr>
          <w:rFonts w:ascii="Arial" w:hAnsi="Arial" w:cs="Arial"/>
          <w:b/>
          <w:bCs/>
          <w:lang w:val="es-UY"/>
        </w:rPr>
      </w:pPr>
      <w:r w:rsidRPr="007D4989">
        <w:rPr>
          <w:rFonts w:ascii="Arial" w:hAnsi="Arial" w:cs="Arial"/>
          <w:b/>
          <w:bCs/>
          <w:lang w:val="es-UY"/>
        </w:rPr>
        <w:t>Preguntas:</w:t>
      </w:r>
    </w:p>
    <w:p w14:paraId="604EBBB8" w14:textId="77777777" w:rsidR="007D4989" w:rsidRPr="007D4989" w:rsidRDefault="007D4989" w:rsidP="007D4989">
      <w:pPr>
        <w:numPr>
          <w:ilvl w:val="0"/>
          <w:numId w:val="38"/>
        </w:numPr>
        <w:spacing w:after="120" w:line="276" w:lineRule="auto"/>
        <w:rPr>
          <w:rFonts w:ascii="Arial" w:hAnsi="Arial" w:cs="Arial"/>
          <w:lang w:val="es-UY"/>
        </w:rPr>
      </w:pPr>
      <w:r w:rsidRPr="007D4989">
        <w:rPr>
          <w:rFonts w:ascii="Arial" w:hAnsi="Arial" w:cs="Arial"/>
          <w:lang w:val="es-UY"/>
        </w:rPr>
        <w:t>¿Hasta qué punto el gobierno proporciona retroalimentación detallada a los actores de la sociedad civil sobre cómo se ha utilizado su aporte en los procesos de toma de decisiones?</w:t>
      </w:r>
    </w:p>
    <w:p w14:paraId="47847C20" w14:textId="77777777" w:rsidR="007D4989" w:rsidRPr="007D4989" w:rsidRDefault="007D4989" w:rsidP="007D4989">
      <w:pPr>
        <w:numPr>
          <w:ilvl w:val="0"/>
          <w:numId w:val="38"/>
        </w:numPr>
        <w:spacing w:after="120" w:line="276" w:lineRule="auto"/>
        <w:rPr>
          <w:rFonts w:ascii="Arial" w:hAnsi="Arial" w:cs="Arial"/>
          <w:lang w:val="es-UY"/>
        </w:rPr>
      </w:pPr>
      <w:r w:rsidRPr="007D4989">
        <w:rPr>
          <w:rFonts w:ascii="Arial" w:hAnsi="Arial" w:cs="Arial"/>
          <w:lang w:val="es-UY"/>
        </w:rPr>
        <w:t>¿Existe documentación pública que informe sobre los resultados de las consultas con los actores de la sociedad civil, explicando la justificación del gobierno para adoptar o descartar sus aportes?</w:t>
      </w:r>
    </w:p>
    <w:p w14:paraId="409AC240" w14:textId="77777777" w:rsidR="007D4989" w:rsidRPr="007D4989" w:rsidRDefault="007D4989" w:rsidP="007D4989">
      <w:pPr>
        <w:numPr>
          <w:ilvl w:val="0"/>
          <w:numId w:val="38"/>
        </w:numPr>
        <w:spacing w:after="120" w:line="276" w:lineRule="auto"/>
        <w:rPr>
          <w:rFonts w:ascii="Arial" w:hAnsi="Arial" w:cs="Arial"/>
          <w:lang w:val="es-UY"/>
        </w:rPr>
      </w:pPr>
      <w:r w:rsidRPr="007D4989">
        <w:rPr>
          <w:rFonts w:ascii="Arial" w:hAnsi="Arial" w:cs="Arial"/>
          <w:lang w:val="es-UY"/>
        </w:rPr>
        <w:t>Si el gobierno no adopta o considera los aportes de los actores de la sociedad civil, ¿se ofrece una explicación clara de las razones? ¿Existen mecanismos para que los actores de la sociedad civil exijan rendición de cuentas?</w:t>
      </w:r>
    </w:p>
    <w:p w14:paraId="0C1AD6F0" w14:textId="77777777" w:rsidR="007D4989" w:rsidRPr="007D4989" w:rsidRDefault="007D4989" w:rsidP="007D4989">
      <w:pPr>
        <w:numPr>
          <w:ilvl w:val="0"/>
          <w:numId w:val="38"/>
        </w:numPr>
        <w:spacing w:after="120" w:line="276" w:lineRule="auto"/>
        <w:rPr>
          <w:rFonts w:ascii="Arial" w:hAnsi="Arial" w:cs="Arial"/>
          <w:lang w:val="es-UY"/>
        </w:rPr>
      </w:pPr>
      <w:r w:rsidRPr="007D4989">
        <w:rPr>
          <w:rFonts w:ascii="Arial" w:hAnsi="Arial" w:cs="Arial"/>
          <w:lang w:val="es-UY"/>
        </w:rPr>
        <w:t>¿Existen espacios formales donde los actores de la sociedad civil puedan monitorear el cumplimiento de los compromisos del gobierno y verificar cómo se integra su retroalimentación en las decisiones?</w:t>
      </w:r>
    </w:p>
    <w:p w14:paraId="51D4627B" w14:textId="77777777" w:rsidR="007D4989" w:rsidRPr="007D4989" w:rsidRDefault="007D4989" w:rsidP="00EC3C5F">
      <w:pPr>
        <w:spacing w:after="120" w:line="276" w:lineRule="auto"/>
        <w:rPr>
          <w:rFonts w:ascii="Arial" w:hAnsi="Arial" w:cs="Arial"/>
          <w:lang w:val="es-UY"/>
        </w:rPr>
      </w:pPr>
    </w:p>
    <w:tbl>
      <w:tblPr>
        <w:tblStyle w:val="TableGrid"/>
        <w:tblW w:w="0" w:type="auto"/>
        <w:tblLook w:val="04A0" w:firstRow="1" w:lastRow="0" w:firstColumn="1" w:lastColumn="0" w:noHBand="0" w:noVBand="1"/>
      </w:tblPr>
      <w:tblGrid>
        <w:gridCol w:w="1822"/>
        <w:gridCol w:w="6672"/>
      </w:tblGrid>
      <w:tr w:rsidR="003D2B1D" w:rsidRPr="00710515" w14:paraId="33CB1BBB" w14:textId="77777777" w:rsidTr="00F4471C">
        <w:tc>
          <w:tcPr>
            <w:tcW w:w="0" w:type="auto"/>
            <w:hideMark/>
          </w:tcPr>
          <w:p w14:paraId="23EBAED8" w14:textId="77777777" w:rsidR="003D2B1D" w:rsidRPr="00710515" w:rsidRDefault="003D2B1D" w:rsidP="00F4471C">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239F5D4D" w14:textId="77777777" w:rsidR="003D2B1D" w:rsidRPr="00710515" w:rsidRDefault="003D2B1D" w:rsidP="00F4471C">
            <w:pPr>
              <w:spacing w:after="120" w:line="276" w:lineRule="auto"/>
              <w:rPr>
                <w:rFonts w:ascii="Arial" w:hAnsi="Arial" w:cs="Arial"/>
                <w:b/>
                <w:bCs/>
                <w:lang w:val="es-ES"/>
              </w:rPr>
            </w:pPr>
            <w:r w:rsidRPr="00710515">
              <w:rPr>
                <w:rFonts w:ascii="Arial" w:hAnsi="Arial" w:cs="Arial"/>
                <w:b/>
                <w:bCs/>
                <w:lang w:val="es-ES"/>
              </w:rPr>
              <w:t>Descripción</w:t>
            </w:r>
          </w:p>
        </w:tc>
      </w:tr>
      <w:tr w:rsidR="003D2B1D" w:rsidRPr="00710515" w14:paraId="53A02D6E" w14:textId="77777777" w:rsidTr="00F4471C">
        <w:tc>
          <w:tcPr>
            <w:tcW w:w="0" w:type="auto"/>
            <w:hideMark/>
          </w:tcPr>
          <w:p w14:paraId="11F396B9"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48E9FD1D" w14:textId="1EAA51DC" w:rsidR="003D2B1D" w:rsidRPr="00710515" w:rsidRDefault="00A533DA" w:rsidP="00F4471C">
            <w:pPr>
              <w:spacing w:after="120" w:line="276" w:lineRule="auto"/>
              <w:rPr>
                <w:rFonts w:ascii="Arial" w:hAnsi="Arial" w:cs="Arial"/>
                <w:lang w:val="es-ES"/>
              </w:rPr>
            </w:pPr>
            <w:r w:rsidRPr="00A533DA">
              <w:rPr>
                <w:rFonts w:ascii="Arial" w:hAnsi="Arial" w:cs="Arial"/>
                <w:lang w:val="es-ES"/>
              </w:rPr>
              <w:t>El gobierno no proporciona retroalimentación sobre cómo se ha utilizado el aporte de los actores de la sociedad civil. No hay documentación pública sobre las consultas, lo que impide la rendición de cuentas. No existen mecanismos para que los actores de la sociedad civil apelen decisiones o rastreen el impacto de sus aportes.</w:t>
            </w:r>
          </w:p>
        </w:tc>
      </w:tr>
      <w:tr w:rsidR="003D2B1D" w:rsidRPr="00710515" w14:paraId="38A84558" w14:textId="77777777" w:rsidTr="00F4471C">
        <w:tc>
          <w:tcPr>
            <w:tcW w:w="0" w:type="auto"/>
            <w:hideMark/>
          </w:tcPr>
          <w:p w14:paraId="42FBC461" w14:textId="77777777" w:rsidR="003D2B1D" w:rsidRPr="00710515" w:rsidRDefault="003D2B1D" w:rsidP="00F4471C">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4FA99AE6" w14:textId="74FC6095" w:rsidR="003D2B1D" w:rsidRPr="00710515" w:rsidRDefault="00A533DA" w:rsidP="00F4471C">
            <w:pPr>
              <w:spacing w:after="120" w:line="276" w:lineRule="auto"/>
              <w:rPr>
                <w:rFonts w:ascii="Arial" w:hAnsi="Arial" w:cs="Arial"/>
                <w:lang w:val="es-ES"/>
              </w:rPr>
            </w:pPr>
            <w:r w:rsidRPr="00A533DA">
              <w:rPr>
                <w:rFonts w:ascii="Arial" w:hAnsi="Arial" w:cs="Arial"/>
                <w:lang w:val="es-ES"/>
              </w:rPr>
              <w:t>El gobierno proporciona retroalimentación mínima y poco clara a los actores de la sociedad civil. La documentación pública sobre los resultados de las consultas es esporádica e incompleta, dificultando la rendición de cuentas. Hay pocas o ninguna vía transparente para que los actores cuestionen decisiones gubernamentales.</w:t>
            </w:r>
          </w:p>
        </w:tc>
      </w:tr>
      <w:tr w:rsidR="003D2B1D" w:rsidRPr="00710515" w14:paraId="041C99D9" w14:textId="77777777" w:rsidTr="00F4471C">
        <w:tc>
          <w:tcPr>
            <w:tcW w:w="0" w:type="auto"/>
            <w:hideMark/>
          </w:tcPr>
          <w:p w14:paraId="2A790801"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0034C956" w14:textId="65A5CE7B" w:rsidR="003D2B1D" w:rsidRPr="00710515" w:rsidRDefault="00A533DA" w:rsidP="00F4471C">
            <w:pPr>
              <w:spacing w:after="120" w:line="276" w:lineRule="auto"/>
              <w:rPr>
                <w:rFonts w:ascii="Arial" w:hAnsi="Arial" w:cs="Arial"/>
                <w:lang w:val="es-ES"/>
              </w:rPr>
            </w:pPr>
            <w:r w:rsidRPr="00A533DA">
              <w:rPr>
                <w:rFonts w:ascii="Arial" w:hAnsi="Arial" w:cs="Arial"/>
                <w:lang w:val="es-ES"/>
              </w:rPr>
              <w:t xml:space="preserve">El gobierno proporciona cierta retroalimentación, pero es inconsistente o poco detallada. La documentación pública sobre las consultas existe, pero no es completa ni se actualiza regularmente. Algunos mecanismos de rendición de cuentas </w:t>
            </w:r>
            <w:r w:rsidRPr="00A533DA">
              <w:rPr>
                <w:rFonts w:ascii="Arial" w:hAnsi="Arial" w:cs="Arial"/>
                <w:lang w:val="es-ES"/>
              </w:rPr>
              <w:lastRenderedPageBreak/>
              <w:t>están disponibles, pero con grandes deficiencias en transparencia.</w:t>
            </w:r>
          </w:p>
        </w:tc>
      </w:tr>
      <w:tr w:rsidR="003D2B1D" w:rsidRPr="00710515" w14:paraId="6CBF8E59" w14:textId="77777777" w:rsidTr="00F4471C">
        <w:tc>
          <w:tcPr>
            <w:tcW w:w="0" w:type="auto"/>
            <w:hideMark/>
          </w:tcPr>
          <w:p w14:paraId="5846D6C0"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lastRenderedPageBreak/>
              <w:t>Habilitante (4)</w:t>
            </w:r>
          </w:p>
        </w:tc>
        <w:tc>
          <w:tcPr>
            <w:tcW w:w="0" w:type="auto"/>
          </w:tcPr>
          <w:p w14:paraId="30A95F73" w14:textId="1BF3C3A3" w:rsidR="003D2B1D" w:rsidRPr="00710515" w:rsidRDefault="00A533DA" w:rsidP="00F4471C">
            <w:pPr>
              <w:spacing w:after="120" w:line="276" w:lineRule="auto"/>
              <w:rPr>
                <w:rFonts w:ascii="Arial" w:hAnsi="Arial" w:cs="Arial"/>
                <w:lang w:val="es-ES"/>
              </w:rPr>
            </w:pPr>
            <w:r w:rsidRPr="00A533DA">
              <w:rPr>
                <w:rFonts w:ascii="Arial" w:hAnsi="Arial" w:cs="Arial"/>
                <w:lang w:val="es-ES"/>
              </w:rPr>
              <w:t>El gobierno proporciona retroalimentación detallada sobre cómo se han utilizado los aportes de los actores de la sociedad civil, aunque pueden existir lagunas ocasionales. La documentación pública sobre las consultas es regular y accesible. Hay mecanismos claros para exigir rendición de cuentas.</w:t>
            </w:r>
          </w:p>
        </w:tc>
      </w:tr>
      <w:tr w:rsidR="003D2B1D" w:rsidRPr="00710515" w14:paraId="138C9AC8" w14:textId="77777777" w:rsidTr="00F4471C">
        <w:tc>
          <w:tcPr>
            <w:tcW w:w="0" w:type="auto"/>
            <w:hideMark/>
          </w:tcPr>
          <w:p w14:paraId="0BC4E8CB" w14:textId="77777777" w:rsidR="003D2B1D" w:rsidRPr="00710515" w:rsidRDefault="003D2B1D" w:rsidP="00F4471C">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1C235BFC" w14:textId="0C0C9B48" w:rsidR="003D2B1D" w:rsidRPr="00710515" w:rsidRDefault="00A533DA" w:rsidP="00F4471C">
            <w:pPr>
              <w:spacing w:after="120" w:line="276" w:lineRule="auto"/>
              <w:rPr>
                <w:rFonts w:ascii="Arial" w:hAnsi="Arial" w:cs="Arial"/>
                <w:lang w:val="es-ES"/>
              </w:rPr>
            </w:pPr>
            <w:r w:rsidRPr="00A533DA">
              <w:rPr>
                <w:rFonts w:ascii="Arial" w:hAnsi="Arial" w:cs="Arial"/>
                <w:lang w:val="es-ES"/>
              </w:rPr>
              <w:t>El gobierno proporciona retroalimentación completa y transparente sobre la integración del aporte de los actores de la sociedad civil en la toma de decisiones. La documentación pública es detallada y actualizada regularmente. Existen mecanismos sólidos para exigir rendición de cuentas, con espacios claros para el seguimiento, apelaciones y monitoreo del impacto de los aportes.</w:t>
            </w:r>
          </w:p>
        </w:tc>
      </w:tr>
    </w:tbl>
    <w:p w14:paraId="2EAFA8CE" w14:textId="77777777" w:rsidR="003D2B1D" w:rsidRPr="003D2B1D" w:rsidRDefault="003D2B1D" w:rsidP="00EC3C5F">
      <w:pPr>
        <w:spacing w:after="120" w:line="276" w:lineRule="auto"/>
        <w:rPr>
          <w:rFonts w:ascii="Arial" w:hAnsi="Arial" w:cs="Arial"/>
        </w:rPr>
      </w:pPr>
    </w:p>
    <w:p w14:paraId="1CDB8EFF" w14:textId="77777777" w:rsidR="00126BFC" w:rsidRPr="00126BFC" w:rsidRDefault="00520F70" w:rsidP="00126BFC">
      <w:pPr>
        <w:spacing w:after="120" w:line="276" w:lineRule="auto"/>
        <w:rPr>
          <w:rFonts w:ascii="Arial" w:hAnsi="Arial" w:cs="Arial"/>
          <w:color w:val="1F3864" w:themeColor="accent1" w:themeShade="80"/>
        </w:rPr>
      </w:pPr>
      <w:r w:rsidRPr="00126BFC">
        <w:rPr>
          <w:rFonts w:ascii="Arial" w:hAnsi="Arial" w:cs="Arial"/>
          <w:b/>
          <w:bCs/>
          <w:color w:val="1F3864" w:themeColor="accent1" w:themeShade="80"/>
        </w:rPr>
        <w:t xml:space="preserve">Preguntas </w:t>
      </w:r>
      <w:r w:rsidR="00AF28B3" w:rsidRPr="00126BFC">
        <w:rPr>
          <w:rFonts w:ascii="Arial" w:hAnsi="Arial" w:cs="Arial"/>
          <w:b/>
          <w:bCs/>
          <w:color w:val="1F3864" w:themeColor="accent1" w:themeShade="80"/>
        </w:rPr>
        <w:t>orientadoras</w:t>
      </w:r>
      <w:r w:rsidRPr="00126BFC">
        <w:rPr>
          <w:rFonts w:ascii="Arial" w:hAnsi="Arial" w:cs="Arial"/>
          <w:b/>
          <w:bCs/>
          <w:color w:val="1F3864" w:themeColor="accent1" w:themeShade="80"/>
        </w:rPr>
        <w:t xml:space="preserve"> para el Principio 5:</w:t>
      </w:r>
      <w:r w:rsidRPr="00126BFC">
        <w:rPr>
          <w:rFonts w:ascii="Arial" w:hAnsi="Arial" w:cs="Arial"/>
          <w:color w:val="1F3864" w:themeColor="accent1" w:themeShade="80"/>
        </w:rPr>
        <w:t xml:space="preserve"> </w:t>
      </w:r>
      <w:r w:rsidR="00126BFC" w:rsidRPr="00126BFC">
        <w:rPr>
          <w:rFonts w:ascii="Arial" w:hAnsi="Arial" w:cs="Arial"/>
          <w:color w:val="1F3864" w:themeColor="accent1" w:themeShade="80"/>
        </w:rPr>
        <w:t>Cultura pública y discursos favorables hacia la sociedad civil</w:t>
      </w:r>
    </w:p>
    <w:p w14:paraId="2E8BCBCC" w14:textId="7F69C605" w:rsidR="00A35376" w:rsidRPr="00A35376" w:rsidRDefault="00A35376" w:rsidP="00EC3C5F">
      <w:pPr>
        <w:spacing w:after="120" w:line="276" w:lineRule="auto"/>
        <w:rPr>
          <w:rFonts w:ascii="Arial" w:hAnsi="Arial" w:cs="Arial"/>
          <w:b/>
          <w:bCs/>
        </w:rPr>
      </w:pPr>
      <w:r w:rsidRPr="00A35376">
        <w:rPr>
          <w:rFonts w:ascii="Arial" w:hAnsi="Arial" w:cs="Arial"/>
          <w:b/>
          <w:bCs/>
        </w:rPr>
        <w:t>5.1 | Discurso Público y Diálogo Constructivo sobre la Sociedad Civil</w:t>
      </w:r>
    </w:p>
    <w:p w14:paraId="4416299A" w14:textId="77777777" w:rsidR="00A35376" w:rsidRPr="00A35376" w:rsidRDefault="00A35376" w:rsidP="00EC3C5F">
      <w:pPr>
        <w:spacing w:after="120" w:line="276" w:lineRule="auto"/>
        <w:rPr>
          <w:rFonts w:ascii="Arial" w:hAnsi="Arial" w:cs="Arial"/>
        </w:rPr>
      </w:pPr>
      <w:r w:rsidRPr="00A35376">
        <w:rPr>
          <w:rFonts w:ascii="Arial" w:hAnsi="Arial" w:cs="Arial"/>
          <w:b/>
          <w:bCs/>
        </w:rPr>
        <w:t>Preguntas:</w:t>
      </w:r>
    </w:p>
    <w:p w14:paraId="2146C047" w14:textId="77777777" w:rsidR="00A35376" w:rsidRPr="00A35376" w:rsidRDefault="00A35376" w:rsidP="00EC3C5F">
      <w:pPr>
        <w:numPr>
          <w:ilvl w:val="0"/>
          <w:numId w:val="30"/>
        </w:numPr>
        <w:spacing w:after="120" w:line="276" w:lineRule="auto"/>
        <w:rPr>
          <w:rFonts w:ascii="Arial" w:hAnsi="Arial" w:cs="Arial"/>
        </w:rPr>
      </w:pPr>
      <w:r w:rsidRPr="00A35376">
        <w:rPr>
          <w:rFonts w:ascii="Arial" w:hAnsi="Arial" w:cs="Arial"/>
        </w:rPr>
        <w:t>¿Cómo perciben y enmarcan públicamente el papel de las OSC el gobierno y los líderes políticos? Considerar si las reconocen como actores esenciales o las presentan como amenazas, irrelevantes o periféricas.</w:t>
      </w:r>
    </w:p>
    <w:p w14:paraId="324B3AA3" w14:textId="77777777" w:rsidR="00A35376" w:rsidRPr="00A35376" w:rsidRDefault="00A35376" w:rsidP="00EC3C5F">
      <w:pPr>
        <w:numPr>
          <w:ilvl w:val="0"/>
          <w:numId w:val="30"/>
        </w:numPr>
        <w:spacing w:after="120" w:line="276" w:lineRule="auto"/>
        <w:rPr>
          <w:rFonts w:ascii="Arial" w:hAnsi="Arial" w:cs="Arial"/>
        </w:rPr>
      </w:pPr>
      <w:r w:rsidRPr="00A35376">
        <w:rPr>
          <w:rFonts w:ascii="Arial" w:hAnsi="Arial" w:cs="Arial"/>
        </w:rPr>
        <w:t>¿Cómo influye la cobertura mediática en la percepción pública de las OSC, y en qué medida destaca sus aportes o amplifica narrativas negativas? Evaluar si los medios fomentan consistentemente la confianza y la valoración de las OSC o si tienden hacia el escepticismo y la desconfianza.</w:t>
      </w:r>
    </w:p>
    <w:p w14:paraId="0B1546B3" w14:textId="77777777" w:rsidR="00A35376" w:rsidRPr="00A35376" w:rsidRDefault="00A35376" w:rsidP="00EC3C5F">
      <w:pPr>
        <w:numPr>
          <w:ilvl w:val="0"/>
          <w:numId w:val="30"/>
        </w:numPr>
        <w:spacing w:after="120" w:line="276" w:lineRule="auto"/>
        <w:rPr>
          <w:rFonts w:ascii="Arial" w:hAnsi="Arial" w:cs="Arial"/>
        </w:rPr>
      </w:pPr>
      <w:r w:rsidRPr="00A35376">
        <w:rPr>
          <w:rFonts w:ascii="Arial" w:hAnsi="Arial" w:cs="Arial"/>
        </w:rPr>
        <w:t>¿En qué medida el diálogo se caracteriza por el respeto, la inclusión y un enfoque en las soluciones basadas en evidencia generadas por las OSC? ¿Con qué frecuencia se incorporan las evidencias y perspectivas de las OSC en los debates políticos y sociales?</w:t>
      </w:r>
    </w:p>
    <w:p w14:paraId="4A45FF71" w14:textId="77777777" w:rsidR="00A35376" w:rsidRPr="00A35376" w:rsidRDefault="00A35376" w:rsidP="00EC3C5F">
      <w:pPr>
        <w:numPr>
          <w:ilvl w:val="0"/>
          <w:numId w:val="30"/>
        </w:numPr>
        <w:spacing w:after="120" w:line="276" w:lineRule="auto"/>
        <w:rPr>
          <w:rFonts w:ascii="Arial" w:hAnsi="Arial" w:cs="Arial"/>
        </w:rPr>
      </w:pPr>
      <w:r w:rsidRPr="00A35376">
        <w:rPr>
          <w:rFonts w:ascii="Arial" w:hAnsi="Arial" w:cs="Arial"/>
        </w:rPr>
        <w:t>¿Cómo afecta la cultura del diálogo público, incluido el gobierno, los medios y las redes sociales, el papel de las OSC y su capacidad para contribuir a un diálogo constructivo?</w:t>
      </w:r>
    </w:p>
    <w:p w14:paraId="7A6577A6" w14:textId="77777777" w:rsidR="00A35376" w:rsidRPr="009B0F1D" w:rsidRDefault="00A35376" w:rsidP="00EC3C5F">
      <w:pPr>
        <w:spacing w:after="120" w:line="276" w:lineRule="auto"/>
        <w:rPr>
          <w:rFonts w:ascii="Arial" w:hAnsi="Arial" w:cs="Arial"/>
          <w:b/>
          <w:bCs/>
        </w:rPr>
      </w:pPr>
      <w:r w:rsidRPr="00A35376">
        <w:rPr>
          <w:rFonts w:ascii="Arial" w:hAnsi="Arial" w:cs="Arial"/>
          <w:b/>
          <w:bCs/>
        </w:rPr>
        <w:t>Referencia de puntuación:</w:t>
      </w:r>
    </w:p>
    <w:tbl>
      <w:tblPr>
        <w:tblStyle w:val="TableGrid"/>
        <w:tblW w:w="0" w:type="auto"/>
        <w:tblLook w:val="04A0" w:firstRow="1" w:lastRow="0" w:firstColumn="1" w:lastColumn="0" w:noHBand="0" w:noVBand="1"/>
      </w:tblPr>
      <w:tblGrid>
        <w:gridCol w:w="1824"/>
        <w:gridCol w:w="6670"/>
      </w:tblGrid>
      <w:tr w:rsidR="00520F70" w:rsidRPr="009B0F1D" w14:paraId="79290E2C" w14:textId="77777777" w:rsidTr="001F02C0">
        <w:tc>
          <w:tcPr>
            <w:tcW w:w="0" w:type="auto"/>
            <w:hideMark/>
          </w:tcPr>
          <w:p w14:paraId="1B84E5CC" w14:textId="77777777" w:rsidR="00520F70" w:rsidRPr="00710515" w:rsidRDefault="00520F70"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54707443" w14:textId="77777777" w:rsidR="00520F70" w:rsidRPr="00710515" w:rsidRDefault="00520F70" w:rsidP="00EC3C5F">
            <w:pPr>
              <w:spacing w:after="120" w:line="276" w:lineRule="auto"/>
              <w:rPr>
                <w:rFonts w:ascii="Arial" w:hAnsi="Arial" w:cs="Arial"/>
                <w:b/>
                <w:bCs/>
                <w:lang w:val="es-ES"/>
              </w:rPr>
            </w:pPr>
            <w:r w:rsidRPr="00710515">
              <w:rPr>
                <w:rFonts w:ascii="Arial" w:hAnsi="Arial" w:cs="Arial"/>
                <w:b/>
                <w:bCs/>
                <w:lang w:val="es-ES"/>
              </w:rPr>
              <w:t>Descripción</w:t>
            </w:r>
          </w:p>
        </w:tc>
      </w:tr>
      <w:tr w:rsidR="00520F70" w:rsidRPr="009B0F1D" w14:paraId="30272476" w14:textId="77777777" w:rsidTr="001F02C0">
        <w:tc>
          <w:tcPr>
            <w:tcW w:w="0" w:type="auto"/>
            <w:hideMark/>
          </w:tcPr>
          <w:p w14:paraId="3711940A" w14:textId="77777777" w:rsidR="00520F70" w:rsidRPr="00710515" w:rsidRDefault="00520F70" w:rsidP="00EC3C5F">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38690665" w14:textId="30C99D1C" w:rsidR="00520F70" w:rsidRPr="00710515" w:rsidRDefault="00520F70" w:rsidP="00EC3C5F">
            <w:pPr>
              <w:spacing w:after="120" w:line="276" w:lineRule="auto"/>
              <w:rPr>
                <w:rFonts w:ascii="Arial" w:hAnsi="Arial" w:cs="Arial"/>
                <w:lang w:val="es-ES"/>
              </w:rPr>
            </w:pPr>
            <w:r w:rsidRPr="00A35376">
              <w:rPr>
                <w:rFonts w:ascii="Arial" w:hAnsi="Arial" w:cs="Arial"/>
                <w:lang w:val="es-ES"/>
              </w:rPr>
              <w:t xml:space="preserve">El gobierno y/o los políticos enmarcan sistemáticamente a algunas o la mayoría de las OSC como amenazas a la soberanía nacional, la identidad o la estabilidad. Los medios de comunicación difunden con regularidad narrativas negativas, presentando a las OSC como poco confiables, influenciadas por intereses extranjeros o irrelevantes para las prioridades nacionales. El diálogo político se caracteriza por la hostilidad, la </w:t>
            </w:r>
            <w:r w:rsidRPr="00A35376">
              <w:rPr>
                <w:rFonts w:ascii="Arial" w:hAnsi="Arial" w:cs="Arial"/>
                <w:lang w:val="es-ES"/>
              </w:rPr>
              <w:lastRenderedPageBreak/>
              <w:t>desinformación y los ataques personales. Existe poco o ningún respeto por las opiniones divergentes, y el discurso público fomenta la división y disminuye la confianza en las OSC.</w:t>
            </w:r>
          </w:p>
        </w:tc>
      </w:tr>
      <w:tr w:rsidR="00520F70" w:rsidRPr="009B0F1D" w14:paraId="431DEFD5" w14:textId="77777777" w:rsidTr="001F02C0">
        <w:tc>
          <w:tcPr>
            <w:tcW w:w="0" w:type="auto"/>
            <w:hideMark/>
          </w:tcPr>
          <w:p w14:paraId="68AE9F8D" w14:textId="77777777" w:rsidR="00520F70" w:rsidRPr="00710515" w:rsidRDefault="00520F70" w:rsidP="00EC3C5F">
            <w:pPr>
              <w:spacing w:after="120" w:line="276" w:lineRule="auto"/>
              <w:rPr>
                <w:rFonts w:ascii="Arial" w:hAnsi="Arial" w:cs="Arial"/>
                <w:lang w:val="es-ES"/>
              </w:rPr>
            </w:pPr>
            <w:r w:rsidRPr="009B0F1D">
              <w:rPr>
                <w:rFonts w:ascii="Arial" w:hAnsi="Arial" w:cs="Arial"/>
                <w:b/>
                <w:bCs/>
                <w:lang w:val="es-ES"/>
              </w:rPr>
              <w:lastRenderedPageBreak/>
              <w:t>Inhibidor</w:t>
            </w:r>
            <w:r w:rsidRPr="00710515">
              <w:rPr>
                <w:rFonts w:ascii="Arial" w:hAnsi="Arial" w:cs="Arial"/>
                <w:b/>
                <w:bCs/>
                <w:lang w:val="es-ES"/>
              </w:rPr>
              <w:t xml:space="preserve"> (2)</w:t>
            </w:r>
          </w:p>
        </w:tc>
        <w:tc>
          <w:tcPr>
            <w:tcW w:w="0" w:type="auto"/>
          </w:tcPr>
          <w:p w14:paraId="0E2BD884" w14:textId="258FAF12" w:rsidR="00520F70" w:rsidRPr="00710515" w:rsidRDefault="00520F70" w:rsidP="00EC3C5F">
            <w:pPr>
              <w:spacing w:after="120" w:line="276" w:lineRule="auto"/>
              <w:rPr>
                <w:rFonts w:ascii="Arial" w:hAnsi="Arial" w:cs="Arial"/>
                <w:lang w:val="es-ES"/>
              </w:rPr>
            </w:pPr>
            <w:r w:rsidRPr="00A35376">
              <w:rPr>
                <w:rFonts w:ascii="Arial" w:hAnsi="Arial" w:cs="Arial"/>
                <w:lang w:val="es-ES"/>
              </w:rPr>
              <w:t>Algunos políticos o figuras gubernamentales en ocasiones enmarcan a las OSC como innecesarias o potencialmente perjudiciales para los intereses nacionales. La cobertura mediática es mixta, pero tiende al escepticismo, cuestionando los motivos o la eficacia de las OSC. El diálogo político suele ser combativo e ideológico, con un enfoque limitado en argumentos basados en evidencia. El discurso público tiende a fomentar el escepticismo, limitando el papel constructivo de las OSC.</w:t>
            </w:r>
          </w:p>
        </w:tc>
      </w:tr>
      <w:tr w:rsidR="00520F70" w:rsidRPr="009B0F1D" w14:paraId="394BE317" w14:textId="77777777" w:rsidTr="001F02C0">
        <w:tc>
          <w:tcPr>
            <w:tcW w:w="0" w:type="auto"/>
            <w:hideMark/>
          </w:tcPr>
          <w:p w14:paraId="6E869AD7" w14:textId="77777777" w:rsidR="00520F70" w:rsidRPr="00710515" w:rsidRDefault="00520F70"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1059D4F3" w14:textId="77777777" w:rsidR="00520F70" w:rsidRPr="00A35376" w:rsidRDefault="00520F70" w:rsidP="00EC3C5F">
            <w:pPr>
              <w:spacing w:after="120" w:line="276" w:lineRule="auto"/>
              <w:rPr>
                <w:rFonts w:ascii="Arial" w:hAnsi="Arial" w:cs="Arial"/>
                <w:lang w:val="es-ES"/>
              </w:rPr>
            </w:pPr>
            <w:r w:rsidRPr="00A35376">
              <w:rPr>
                <w:rFonts w:ascii="Arial" w:hAnsi="Arial" w:cs="Arial"/>
                <w:lang w:val="es-ES"/>
              </w:rPr>
              <w:t>El gobierno y los políticos reconocen nominalmente el papel de las OSC, pero en la práctica las consideran periféricas a la gobernanza y el desarrollo nacional. La cobertura mediática es equilibrada, presentando perspectivas positivas y negativas sin un sesgo evidente. El diálogo político combina elementos constructivos y destructivos.</w:t>
            </w:r>
          </w:p>
          <w:p w14:paraId="3CEF097D" w14:textId="27E783EE" w:rsidR="00520F70" w:rsidRPr="00710515" w:rsidRDefault="00520F70" w:rsidP="00EC3C5F">
            <w:pPr>
              <w:spacing w:after="120" w:line="276" w:lineRule="auto"/>
              <w:rPr>
                <w:rFonts w:ascii="Arial" w:hAnsi="Arial" w:cs="Arial"/>
                <w:lang w:val="es-ES"/>
              </w:rPr>
            </w:pPr>
          </w:p>
        </w:tc>
      </w:tr>
      <w:tr w:rsidR="00520F70" w:rsidRPr="009B0F1D" w14:paraId="6234827D" w14:textId="77777777" w:rsidTr="001F02C0">
        <w:tc>
          <w:tcPr>
            <w:tcW w:w="0" w:type="auto"/>
            <w:hideMark/>
          </w:tcPr>
          <w:p w14:paraId="2F53CBAA" w14:textId="77777777" w:rsidR="00520F70" w:rsidRPr="00710515" w:rsidRDefault="00520F70"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1F1776C7" w14:textId="5D3E4FBE" w:rsidR="00520F70" w:rsidRPr="00710515" w:rsidRDefault="00520F70" w:rsidP="00EC3C5F">
            <w:pPr>
              <w:spacing w:after="120" w:line="276" w:lineRule="auto"/>
              <w:rPr>
                <w:rFonts w:ascii="Arial" w:hAnsi="Arial" w:cs="Arial"/>
                <w:lang w:val="es-ES"/>
              </w:rPr>
            </w:pPr>
            <w:r w:rsidRPr="00A35376">
              <w:rPr>
                <w:rFonts w:ascii="Arial" w:hAnsi="Arial" w:cs="Arial"/>
                <w:lang w:val="es-ES"/>
              </w:rPr>
              <w:t>El gobierno y los líderes políticos reconocen el papel de las OSC en la solución de problemas sociales y la promoción del desarrollo nacional. La cobertura mediática es mayormente positiva y destaca las contribuciones de las OSC al bienestar social. El diálogo político es generalmente respetuoso e inclusivo, y el discurso público se centra en soluciones basadas en evidencia. Las contribuciones de las OSC son valoradas, aunque no siempre solicitadas de manera proactiva.</w:t>
            </w:r>
            <w:r w:rsidR="00266C8C" w:rsidRPr="009B0F1D">
              <w:rPr>
                <w:rFonts w:ascii="Arial" w:hAnsi="Arial" w:cs="Arial"/>
                <w:lang w:val="es-ES"/>
              </w:rPr>
              <w:t xml:space="preserve"> Aunque sigue habiendo retos hacia un diálogo constructivo, estos son mínimos.</w:t>
            </w:r>
          </w:p>
        </w:tc>
      </w:tr>
      <w:tr w:rsidR="00520F70" w:rsidRPr="009B0F1D" w14:paraId="6EBC8994" w14:textId="77777777" w:rsidTr="001F02C0">
        <w:tc>
          <w:tcPr>
            <w:tcW w:w="0" w:type="auto"/>
            <w:hideMark/>
          </w:tcPr>
          <w:p w14:paraId="137ED938" w14:textId="77777777" w:rsidR="00520F70" w:rsidRPr="00710515" w:rsidRDefault="00520F70"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045FEABA" w14:textId="1F5B6A75" w:rsidR="00520F70" w:rsidRPr="00710515" w:rsidRDefault="00520F70" w:rsidP="00EC3C5F">
            <w:pPr>
              <w:spacing w:after="120" w:line="276" w:lineRule="auto"/>
              <w:rPr>
                <w:rFonts w:ascii="Arial" w:hAnsi="Arial" w:cs="Arial"/>
                <w:lang w:val="es-ES"/>
              </w:rPr>
            </w:pPr>
            <w:r w:rsidRPr="00A35376">
              <w:rPr>
                <w:rFonts w:ascii="Arial" w:hAnsi="Arial" w:cs="Arial"/>
                <w:lang w:val="es-ES"/>
              </w:rPr>
              <w:t>El gobierno reconoce activamente a las OSC como actores esenciales en la gobernanza y el desarrollo. Los medios destacan de manera consistente los éxitos de las OSC y amplifican sus causas, fomentando una amplia apreciación pública. El diálogo político se caracteriza por el respeto mutuo y la inclusión, y el discurso público enfatiza la toma de decisiones basada en evidencia.</w:t>
            </w:r>
          </w:p>
        </w:tc>
      </w:tr>
    </w:tbl>
    <w:p w14:paraId="69707D54" w14:textId="77777777" w:rsidR="00520F70" w:rsidRPr="00A35376" w:rsidRDefault="00520F70" w:rsidP="00EC3C5F">
      <w:pPr>
        <w:spacing w:after="120" w:line="276" w:lineRule="auto"/>
        <w:rPr>
          <w:rFonts w:ascii="Arial" w:hAnsi="Arial" w:cs="Arial"/>
        </w:rPr>
      </w:pPr>
    </w:p>
    <w:p w14:paraId="7790B2F1" w14:textId="77777777" w:rsidR="00A35376" w:rsidRPr="00A35376" w:rsidRDefault="00A35376" w:rsidP="00EC3C5F">
      <w:pPr>
        <w:spacing w:after="120" w:line="276" w:lineRule="auto"/>
        <w:rPr>
          <w:rFonts w:ascii="Arial" w:hAnsi="Arial" w:cs="Arial"/>
          <w:b/>
          <w:bCs/>
        </w:rPr>
      </w:pPr>
      <w:r w:rsidRPr="00A35376">
        <w:rPr>
          <w:rFonts w:ascii="Arial" w:hAnsi="Arial" w:cs="Arial"/>
          <w:b/>
          <w:bCs/>
        </w:rPr>
        <w:t>5.2 | Percepción de la Sociedad Civil y la Participación Cívica</w:t>
      </w:r>
    </w:p>
    <w:p w14:paraId="052DAD3B" w14:textId="77777777" w:rsidR="00A35376" w:rsidRPr="00A35376" w:rsidRDefault="00A35376" w:rsidP="00EC3C5F">
      <w:pPr>
        <w:spacing w:after="120" w:line="276" w:lineRule="auto"/>
        <w:rPr>
          <w:rFonts w:ascii="Arial" w:hAnsi="Arial" w:cs="Arial"/>
        </w:rPr>
      </w:pPr>
      <w:r w:rsidRPr="00A35376">
        <w:rPr>
          <w:rFonts w:ascii="Arial" w:hAnsi="Arial" w:cs="Arial"/>
          <w:b/>
          <w:bCs/>
        </w:rPr>
        <w:t>Preguntas:</w:t>
      </w:r>
    </w:p>
    <w:p w14:paraId="445B76A4" w14:textId="77777777" w:rsidR="00A35376" w:rsidRPr="00A35376" w:rsidRDefault="00A35376" w:rsidP="00EC3C5F">
      <w:pPr>
        <w:numPr>
          <w:ilvl w:val="0"/>
          <w:numId w:val="32"/>
        </w:numPr>
        <w:spacing w:after="120" w:line="276" w:lineRule="auto"/>
        <w:rPr>
          <w:rFonts w:ascii="Arial" w:hAnsi="Arial" w:cs="Arial"/>
        </w:rPr>
      </w:pPr>
      <w:r w:rsidRPr="00A35376">
        <w:rPr>
          <w:rFonts w:ascii="Arial" w:hAnsi="Arial" w:cs="Arial"/>
        </w:rPr>
        <w:t>¿En qué medida los ciudadanos creen que la sociedad civil juega un papel positivo en su país?</w:t>
      </w:r>
    </w:p>
    <w:p w14:paraId="03E352FD" w14:textId="77777777" w:rsidR="00A35376" w:rsidRPr="00A35376" w:rsidRDefault="00A35376" w:rsidP="00EC3C5F">
      <w:pPr>
        <w:numPr>
          <w:ilvl w:val="0"/>
          <w:numId w:val="32"/>
        </w:numPr>
        <w:spacing w:after="120" w:line="276" w:lineRule="auto"/>
        <w:rPr>
          <w:rFonts w:ascii="Arial" w:hAnsi="Arial" w:cs="Arial"/>
        </w:rPr>
      </w:pPr>
      <w:r w:rsidRPr="00A35376">
        <w:rPr>
          <w:rFonts w:ascii="Arial" w:hAnsi="Arial" w:cs="Arial"/>
        </w:rPr>
        <w:t>¿En qué medida los ciudadanos participan activamente en los procesos políticos?</w:t>
      </w:r>
    </w:p>
    <w:p w14:paraId="42F36C7B" w14:textId="77777777" w:rsidR="00A35376" w:rsidRPr="00A35376" w:rsidRDefault="00A35376" w:rsidP="00EC3C5F">
      <w:pPr>
        <w:numPr>
          <w:ilvl w:val="0"/>
          <w:numId w:val="32"/>
        </w:numPr>
        <w:spacing w:after="120" w:line="276" w:lineRule="auto"/>
        <w:rPr>
          <w:rFonts w:ascii="Arial" w:hAnsi="Arial" w:cs="Arial"/>
        </w:rPr>
      </w:pPr>
      <w:r w:rsidRPr="00A35376">
        <w:rPr>
          <w:rFonts w:ascii="Arial" w:hAnsi="Arial" w:cs="Arial"/>
        </w:rPr>
        <w:t>Considerar la prevalencia de la participación de la población en iniciativas comunitarias o en organizaciones cívicas políticas o no políticas.</w:t>
      </w:r>
    </w:p>
    <w:p w14:paraId="0F9589D9" w14:textId="77777777" w:rsidR="00A35376" w:rsidRPr="00A35376" w:rsidRDefault="00A35376" w:rsidP="00EC3C5F">
      <w:pPr>
        <w:numPr>
          <w:ilvl w:val="0"/>
          <w:numId w:val="32"/>
        </w:numPr>
        <w:spacing w:after="120" w:line="276" w:lineRule="auto"/>
        <w:rPr>
          <w:rFonts w:ascii="Arial" w:hAnsi="Arial" w:cs="Arial"/>
        </w:rPr>
      </w:pPr>
      <w:r w:rsidRPr="00A35376">
        <w:rPr>
          <w:rFonts w:ascii="Arial" w:hAnsi="Arial" w:cs="Arial"/>
        </w:rPr>
        <w:lastRenderedPageBreak/>
        <w:t>¿Qué tan accesible es la educación cívica? ¿En qué medida las escuelas y los programas comunitarios proporcionan una educación integral sobre derechos políticos, responsabilidades y la importancia del compromiso cívico?</w:t>
      </w:r>
    </w:p>
    <w:p w14:paraId="76D5F12B" w14:textId="77777777" w:rsidR="00A35376" w:rsidRPr="009B0F1D" w:rsidRDefault="00A35376" w:rsidP="00EC3C5F">
      <w:pPr>
        <w:spacing w:after="120" w:line="276" w:lineRule="auto"/>
        <w:rPr>
          <w:rFonts w:ascii="Arial" w:hAnsi="Arial" w:cs="Arial"/>
          <w:b/>
          <w:bCs/>
        </w:rPr>
      </w:pPr>
      <w:r w:rsidRPr="00A35376">
        <w:rPr>
          <w:rFonts w:ascii="Arial" w:hAnsi="Arial" w:cs="Arial"/>
          <w:b/>
          <w:bCs/>
        </w:rPr>
        <w:t>Referencia de puntuación:</w:t>
      </w:r>
    </w:p>
    <w:tbl>
      <w:tblPr>
        <w:tblStyle w:val="TableGrid"/>
        <w:tblW w:w="0" w:type="auto"/>
        <w:tblLook w:val="04A0" w:firstRow="1" w:lastRow="0" w:firstColumn="1" w:lastColumn="0" w:noHBand="0" w:noVBand="1"/>
      </w:tblPr>
      <w:tblGrid>
        <w:gridCol w:w="1821"/>
        <w:gridCol w:w="6673"/>
      </w:tblGrid>
      <w:tr w:rsidR="00266C8C" w:rsidRPr="009B0F1D" w14:paraId="7E6EF571" w14:textId="77777777" w:rsidTr="001F02C0">
        <w:tc>
          <w:tcPr>
            <w:tcW w:w="0" w:type="auto"/>
            <w:hideMark/>
          </w:tcPr>
          <w:p w14:paraId="64EE3F00" w14:textId="77777777" w:rsidR="00266C8C" w:rsidRPr="00710515" w:rsidRDefault="00266C8C"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22F3CF93" w14:textId="77777777" w:rsidR="00266C8C" w:rsidRPr="00710515" w:rsidRDefault="00266C8C" w:rsidP="00EC3C5F">
            <w:pPr>
              <w:spacing w:after="120" w:line="276" w:lineRule="auto"/>
              <w:rPr>
                <w:rFonts w:ascii="Arial" w:hAnsi="Arial" w:cs="Arial"/>
                <w:b/>
                <w:bCs/>
                <w:lang w:val="es-ES"/>
              </w:rPr>
            </w:pPr>
            <w:r w:rsidRPr="00710515">
              <w:rPr>
                <w:rFonts w:ascii="Arial" w:hAnsi="Arial" w:cs="Arial"/>
                <w:b/>
                <w:bCs/>
                <w:lang w:val="es-ES"/>
              </w:rPr>
              <w:t>Descripción</w:t>
            </w:r>
          </w:p>
        </w:tc>
      </w:tr>
      <w:tr w:rsidR="00266C8C" w:rsidRPr="009B0F1D" w14:paraId="61C12D58" w14:textId="77777777" w:rsidTr="001F02C0">
        <w:tc>
          <w:tcPr>
            <w:tcW w:w="0" w:type="auto"/>
            <w:hideMark/>
          </w:tcPr>
          <w:p w14:paraId="01CAF55A"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34504A0A" w14:textId="77777777" w:rsidR="00266C8C" w:rsidRPr="009B0F1D" w:rsidRDefault="00266C8C" w:rsidP="00EC3C5F">
            <w:pPr>
              <w:spacing w:after="120" w:line="276" w:lineRule="auto"/>
              <w:rPr>
                <w:rFonts w:ascii="Arial" w:hAnsi="Arial" w:cs="Arial"/>
                <w:lang w:val="es-ES"/>
              </w:rPr>
            </w:pPr>
            <w:r w:rsidRPr="009B0F1D">
              <w:rPr>
                <w:rFonts w:ascii="Arial" w:hAnsi="Arial" w:cs="Arial"/>
                <w:lang w:val="es-ES"/>
              </w:rPr>
              <w:t>Los ciudadanos se sienten impotentes para influir en las decisiones políticas, con un compromiso cívico muy bajo o insignificante. La educación cívica es casi inexistente y los ciudadanos tienen una conciencia limitada de sus derechos o responsabilidades cívicas. La participación en los procesos políticos, incluso en las elecciones nacionales, es mínima o muy desalentada.</w:t>
            </w:r>
          </w:p>
          <w:p w14:paraId="62333690" w14:textId="585F794A" w:rsidR="00266C8C" w:rsidRPr="00710515" w:rsidRDefault="00266C8C" w:rsidP="00EC3C5F">
            <w:pPr>
              <w:spacing w:after="120" w:line="276" w:lineRule="auto"/>
              <w:rPr>
                <w:rFonts w:ascii="Arial" w:hAnsi="Arial" w:cs="Arial"/>
                <w:lang w:val="es-ES"/>
              </w:rPr>
            </w:pPr>
          </w:p>
        </w:tc>
      </w:tr>
      <w:tr w:rsidR="00266C8C" w:rsidRPr="009B0F1D" w14:paraId="5C15B69F" w14:textId="77777777" w:rsidTr="001F02C0">
        <w:tc>
          <w:tcPr>
            <w:tcW w:w="0" w:type="auto"/>
            <w:hideMark/>
          </w:tcPr>
          <w:p w14:paraId="4AF5838D" w14:textId="77777777" w:rsidR="00266C8C" w:rsidRPr="00710515" w:rsidRDefault="00266C8C" w:rsidP="00EC3C5F">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47C4985B" w14:textId="599CE7D5" w:rsidR="00266C8C" w:rsidRPr="00710515" w:rsidRDefault="00266C8C" w:rsidP="00EC3C5F">
            <w:pPr>
              <w:spacing w:after="120" w:line="276" w:lineRule="auto"/>
              <w:rPr>
                <w:rFonts w:ascii="Arial" w:hAnsi="Arial" w:cs="Arial"/>
                <w:lang w:val="es-ES"/>
              </w:rPr>
            </w:pPr>
            <w:r w:rsidRPr="009B0F1D">
              <w:rPr>
                <w:rFonts w:ascii="Arial" w:hAnsi="Arial" w:cs="Arial"/>
                <w:lang w:val="es-ES"/>
              </w:rPr>
              <w:t>Pocos ciudadanos creen que pueden influir en las decisiones políticas, lo que conduce a un bajo compromiso cívico. La educación cívica es mínima, con un énfasis limitado en los derechos o responsabilidades individuales. La participación política se produce principalmente a través del voto en las elecciones nacionales, con pocas oportunidades de participación fuera de esto.</w:t>
            </w:r>
          </w:p>
        </w:tc>
      </w:tr>
      <w:tr w:rsidR="00266C8C" w:rsidRPr="009B0F1D" w14:paraId="4208E1F5" w14:textId="77777777" w:rsidTr="001F02C0">
        <w:tc>
          <w:tcPr>
            <w:tcW w:w="0" w:type="auto"/>
            <w:hideMark/>
          </w:tcPr>
          <w:p w14:paraId="480BCA40"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455AA8C2" w14:textId="1BAA3523" w:rsidR="00266C8C" w:rsidRPr="00710515" w:rsidRDefault="00266C8C" w:rsidP="00EC3C5F">
            <w:pPr>
              <w:spacing w:after="120" w:line="276" w:lineRule="auto"/>
              <w:rPr>
                <w:rFonts w:ascii="Arial" w:hAnsi="Arial" w:cs="Arial"/>
                <w:lang w:val="es-ES"/>
              </w:rPr>
            </w:pPr>
            <w:r w:rsidRPr="009B0F1D">
              <w:rPr>
                <w:rFonts w:ascii="Arial" w:hAnsi="Arial" w:cs="Arial"/>
                <w:lang w:val="es-ES"/>
              </w:rPr>
              <w:t>Se reconocen las responsabilidades cívicas, pero solo una parte de la población participa activamente en los procesos políticos. La educación cívica existe, pero no se enfatiza en todas las instituciones educativas o grupos demográficos. Los ciudadanos participan en las elecciones importantes, pero menos en las iniciativas locales o sobre temas específicos.</w:t>
            </w:r>
          </w:p>
        </w:tc>
      </w:tr>
      <w:tr w:rsidR="00266C8C" w:rsidRPr="009B0F1D" w14:paraId="21F38782" w14:textId="77777777" w:rsidTr="001F02C0">
        <w:tc>
          <w:tcPr>
            <w:tcW w:w="0" w:type="auto"/>
            <w:hideMark/>
          </w:tcPr>
          <w:p w14:paraId="69D158C8"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1F47D643" w14:textId="6D8E03CA" w:rsidR="00266C8C" w:rsidRPr="00710515" w:rsidRDefault="00266C8C" w:rsidP="00EC3C5F">
            <w:pPr>
              <w:spacing w:after="120" w:line="276" w:lineRule="auto"/>
              <w:rPr>
                <w:rFonts w:ascii="Arial" w:hAnsi="Arial" w:cs="Arial"/>
                <w:lang w:val="es-ES"/>
              </w:rPr>
            </w:pPr>
            <w:r w:rsidRPr="009B0F1D">
              <w:rPr>
                <w:rFonts w:ascii="Arial" w:hAnsi="Arial" w:cs="Arial"/>
                <w:lang w:val="es-ES"/>
              </w:rPr>
              <w:t>La mayoría de los ciudadanos creen que pueden influir en las decisiones políticas, y una mayoría participa en los procesos cívicos. La educación cívica está bien establecida, aunque la participación puede variar según el grupo demográfico. Existen desafíos ocasionales para la participación cívica (por ejemplo, barreras burocráticas), pero no disuaden a la mayoría.</w:t>
            </w:r>
          </w:p>
        </w:tc>
      </w:tr>
      <w:tr w:rsidR="00266C8C" w:rsidRPr="009B0F1D" w14:paraId="146DCE51" w14:textId="77777777" w:rsidTr="001F02C0">
        <w:tc>
          <w:tcPr>
            <w:tcW w:w="0" w:type="auto"/>
            <w:hideMark/>
          </w:tcPr>
          <w:p w14:paraId="16A23E6D"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694197EA" w14:textId="61BCF934" w:rsidR="00266C8C" w:rsidRPr="00710515" w:rsidRDefault="00266C8C" w:rsidP="00EC3C5F">
            <w:pPr>
              <w:spacing w:after="120" w:line="276" w:lineRule="auto"/>
              <w:rPr>
                <w:rFonts w:ascii="Arial" w:hAnsi="Arial" w:cs="Arial"/>
                <w:lang w:val="es-ES"/>
              </w:rPr>
            </w:pPr>
            <w:r w:rsidRPr="009B0F1D">
              <w:rPr>
                <w:rFonts w:ascii="Arial" w:hAnsi="Arial" w:cs="Arial"/>
                <w:lang w:val="es-ES"/>
              </w:rPr>
              <w:t>Creencia generalizada en el poder de los individuos y los grupos para influir en las decisiones políticas. Las escuelas y las instituciones educan activamente a los ciudadanos sobre los derechos y responsabilidades cívicas. Las organizaciones comunitarias y las iniciativas ciudadanas participan regularmente en los procesos de toma de decisiones, elaboración de políticas y desarrollo local.</w:t>
            </w:r>
          </w:p>
        </w:tc>
      </w:tr>
    </w:tbl>
    <w:p w14:paraId="4CE4145E" w14:textId="77777777" w:rsidR="00266C8C" w:rsidRPr="00A35376" w:rsidRDefault="00266C8C" w:rsidP="00EC3C5F">
      <w:pPr>
        <w:spacing w:after="120" w:line="276" w:lineRule="auto"/>
        <w:rPr>
          <w:rFonts w:ascii="Arial" w:hAnsi="Arial" w:cs="Arial"/>
        </w:rPr>
      </w:pPr>
    </w:p>
    <w:p w14:paraId="33D665FF" w14:textId="77777777" w:rsidR="00266C8C" w:rsidRPr="00266C8C" w:rsidRDefault="00266C8C" w:rsidP="00EC3C5F">
      <w:pPr>
        <w:spacing w:after="120" w:line="276" w:lineRule="auto"/>
        <w:rPr>
          <w:rFonts w:ascii="Arial" w:hAnsi="Arial" w:cs="Arial"/>
        </w:rPr>
      </w:pPr>
      <w:r w:rsidRPr="00266C8C">
        <w:rPr>
          <w:rFonts w:ascii="Arial" w:hAnsi="Arial" w:cs="Arial"/>
          <w:b/>
          <w:bCs/>
        </w:rPr>
        <w:t>5.3 | Igualdad Cívica e Inclusión</w:t>
      </w:r>
    </w:p>
    <w:p w14:paraId="4313AAB3" w14:textId="77777777" w:rsidR="00266C8C" w:rsidRPr="00266C8C" w:rsidRDefault="00266C8C" w:rsidP="00EC3C5F">
      <w:pPr>
        <w:spacing w:after="120" w:line="276" w:lineRule="auto"/>
        <w:rPr>
          <w:rFonts w:ascii="Arial" w:hAnsi="Arial" w:cs="Arial"/>
        </w:rPr>
      </w:pPr>
      <w:r w:rsidRPr="00266C8C">
        <w:rPr>
          <w:rFonts w:ascii="Arial" w:hAnsi="Arial" w:cs="Arial"/>
          <w:b/>
          <w:bCs/>
        </w:rPr>
        <w:t>Preguntas:</w:t>
      </w:r>
    </w:p>
    <w:p w14:paraId="64885E4E" w14:textId="77777777" w:rsidR="00266C8C" w:rsidRPr="00266C8C" w:rsidRDefault="00266C8C" w:rsidP="00EC3C5F">
      <w:pPr>
        <w:numPr>
          <w:ilvl w:val="0"/>
          <w:numId w:val="34"/>
        </w:numPr>
        <w:spacing w:after="120" w:line="276" w:lineRule="auto"/>
        <w:rPr>
          <w:rFonts w:ascii="Arial" w:hAnsi="Arial" w:cs="Arial"/>
        </w:rPr>
      </w:pPr>
      <w:r w:rsidRPr="00266C8C">
        <w:rPr>
          <w:rFonts w:ascii="Arial" w:hAnsi="Arial" w:cs="Arial"/>
        </w:rPr>
        <w:lastRenderedPageBreak/>
        <w:t>¿Hasta qué punto los sistemas legales, sociales y económicos garantizan la igualdad de derechos y oportunidades para todas las personas, incluidos los grupos marginados, para participar en los procesos cívicos?</w:t>
      </w:r>
    </w:p>
    <w:p w14:paraId="5E96C8E6" w14:textId="77777777" w:rsidR="00266C8C" w:rsidRPr="00266C8C" w:rsidRDefault="00266C8C" w:rsidP="00EC3C5F">
      <w:pPr>
        <w:numPr>
          <w:ilvl w:val="0"/>
          <w:numId w:val="34"/>
        </w:numPr>
        <w:spacing w:after="120" w:line="276" w:lineRule="auto"/>
        <w:rPr>
          <w:rFonts w:ascii="Arial" w:hAnsi="Arial" w:cs="Arial"/>
        </w:rPr>
      </w:pPr>
      <w:r w:rsidRPr="00266C8C">
        <w:rPr>
          <w:rFonts w:ascii="Arial" w:hAnsi="Arial" w:cs="Arial"/>
        </w:rPr>
        <w:t>¿Qué tan fuertes son las barreras sociales y económicas para los grupos marginados, desatendidos y las poblaciones vulnerables (incluyendo clase social, etnia, género/identidad de género, idioma, religión, orientación sexual)? ¿En qué medida existe tolerancia social y respeto por la diversidad entre las poblaciones mayoritarias o dominantes?</w:t>
      </w:r>
    </w:p>
    <w:p w14:paraId="59A61557" w14:textId="77777777" w:rsidR="00266C8C" w:rsidRPr="009B0F1D" w:rsidRDefault="00266C8C" w:rsidP="00EC3C5F">
      <w:pPr>
        <w:spacing w:after="120" w:line="276" w:lineRule="auto"/>
        <w:rPr>
          <w:rFonts w:ascii="Arial" w:hAnsi="Arial" w:cs="Arial"/>
          <w:b/>
          <w:bCs/>
        </w:rPr>
      </w:pPr>
      <w:r w:rsidRPr="00266C8C">
        <w:rPr>
          <w:rFonts w:ascii="Arial" w:hAnsi="Arial" w:cs="Arial"/>
          <w:b/>
          <w:bCs/>
        </w:rPr>
        <w:t>Referencia de puntuación</w:t>
      </w:r>
    </w:p>
    <w:tbl>
      <w:tblPr>
        <w:tblStyle w:val="TableGrid"/>
        <w:tblW w:w="0" w:type="auto"/>
        <w:tblLook w:val="04A0" w:firstRow="1" w:lastRow="0" w:firstColumn="1" w:lastColumn="0" w:noHBand="0" w:noVBand="1"/>
      </w:tblPr>
      <w:tblGrid>
        <w:gridCol w:w="1833"/>
        <w:gridCol w:w="6661"/>
      </w:tblGrid>
      <w:tr w:rsidR="00266C8C" w:rsidRPr="009B0F1D" w14:paraId="52431AA9" w14:textId="77777777" w:rsidTr="001F02C0">
        <w:tc>
          <w:tcPr>
            <w:tcW w:w="0" w:type="auto"/>
            <w:hideMark/>
          </w:tcPr>
          <w:p w14:paraId="17604252" w14:textId="77777777" w:rsidR="00266C8C" w:rsidRPr="00710515" w:rsidRDefault="00266C8C" w:rsidP="00EC3C5F">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62DCF8D6" w14:textId="77777777" w:rsidR="00266C8C" w:rsidRPr="00710515" w:rsidRDefault="00266C8C" w:rsidP="00EC3C5F">
            <w:pPr>
              <w:spacing w:after="120" w:line="276" w:lineRule="auto"/>
              <w:rPr>
                <w:rFonts w:ascii="Arial" w:hAnsi="Arial" w:cs="Arial"/>
                <w:b/>
                <w:bCs/>
                <w:lang w:val="es-ES"/>
              </w:rPr>
            </w:pPr>
            <w:r w:rsidRPr="00710515">
              <w:rPr>
                <w:rFonts w:ascii="Arial" w:hAnsi="Arial" w:cs="Arial"/>
                <w:b/>
                <w:bCs/>
                <w:lang w:val="es-ES"/>
              </w:rPr>
              <w:t>Descripción</w:t>
            </w:r>
          </w:p>
        </w:tc>
      </w:tr>
      <w:tr w:rsidR="00266C8C" w:rsidRPr="009B0F1D" w14:paraId="6E212BDC" w14:textId="77777777" w:rsidTr="001F02C0">
        <w:tc>
          <w:tcPr>
            <w:tcW w:w="0" w:type="auto"/>
            <w:hideMark/>
          </w:tcPr>
          <w:p w14:paraId="736294F7"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33E8340A" w14:textId="452C9781" w:rsidR="00266C8C" w:rsidRPr="00710515" w:rsidRDefault="00266C8C" w:rsidP="00EC3C5F">
            <w:pPr>
              <w:spacing w:after="120" w:line="276" w:lineRule="auto"/>
              <w:rPr>
                <w:rFonts w:ascii="Arial" w:hAnsi="Arial" w:cs="Arial"/>
                <w:lang w:val="es-ES"/>
              </w:rPr>
            </w:pPr>
            <w:r w:rsidRPr="00266C8C">
              <w:rPr>
                <w:rFonts w:ascii="Arial" w:hAnsi="Arial" w:cs="Arial"/>
                <w:lang w:val="es-ES"/>
              </w:rPr>
              <w:t>Existen barreras legales, sociales o económicas significativas que impiden la participación cívica en igualdad de condiciones. Los derechos y las oportunidades están distribuidos de manera desigual, y la discriminación sistémica es generalizada. Los grupos minoritarios o marginados tienen una representación mínima o inexistente en la gobernanza, los foros públicos o las OSC. Las actitudes hacia las comunidades minoritarias y marginadas se caracterizan por la desconfianza y el prejuicio.</w:t>
            </w:r>
          </w:p>
        </w:tc>
      </w:tr>
      <w:tr w:rsidR="00266C8C" w:rsidRPr="009B0F1D" w14:paraId="448A372F" w14:textId="77777777" w:rsidTr="001F02C0">
        <w:tc>
          <w:tcPr>
            <w:tcW w:w="0" w:type="auto"/>
            <w:hideMark/>
          </w:tcPr>
          <w:p w14:paraId="099C9B06" w14:textId="77777777" w:rsidR="00266C8C" w:rsidRPr="00710515" w:rsidRDefault="00266C8C" w:rsidP="00EC3C5F">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57F3F1A5" w14:textId="1A1DD13E" w:rsidR="00266C8C" w:rsidRPr="00710515" w:rsidRDefault="00266C8C" w:rsidP="00EC3C5F">
            <w:pPr>
              <w:spacing w:after="120" w:line="276" w:lineRule="auto"/>
              <w:rPr>
                <w:rFonts w:ascii="Arial" w:hAnsi="Arial" w:cs="Arial"/>
                <w:lang w:val="es-ES"/>
              </w:rPr>
            </w:pPr>
            <w:r w:rsidRPr="00266C8C">
              <w:rPr>
                <w:rFonts w:ascii="Arial" w:hAnsi="Arial" w:cs="Arial"/>
                <w:lang w:val="es-ES"/>
              </w:rPr>
              <w:t>Algunos obstáculos legales han sido abordados, pero las barreras sociales y económicas siguen impidiendo la participación igualitaria de muchos grupos. La representación de los grupos marginados existe en algunos ámbitos, pero es simbólica o insuficiente para influir en la toma de decisiones. La sociedad reconoce la necesidad de inclusión, pero persisten la desconfianza social y los prejuicios.</w:t>
            </w:r>
          </w:p>
        </w:tc>
      </w:tr>
      <w:tr w:rsidR="00266C8C" w:rsidRPr="009B0F1D" w14:paraId="5575CC22" w14:textId="77777777" w:rsidTr="001F02C0">
        <w:tc>
          <w:tcPr>
            <w:tcW w:w="0" w:type="auto"/>
            <w:hideMark/>
          </w:tcPr>
          <w:p w14:paraId="0573E3AA"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49F19F37" w14:textId="1963AB81" w:rsidR="00266C8C" w:rsidRPr="00710515" w:rsidRDefault="00266C8C" w:rsidP="00EC3C5F">
            <w:pPr>
              <w:spacing w:after="120" w:line="276" w:lineRule="auto"/>
              <w:rPr>
                <w:rFonts w:ascii="Arial" w:hAnsi="Arial" w:cs="Arial"/>
                <w:lang w:val="es-ES"/>
              </w:rPr>
            </w:pPr>
            <w:r w:rsidRPr="00266C8C">
              <w:rPr>
                <w:rFonts w:ascii="Arial" w:hAnsi="Arial" w:cs="Arial"/>
                <w:lang w:val="es-ES"/>
              </w:rPr>
              <w:t>Se han implementado reformas legales para apoyar la igualdad, pero su aplicación es desigual y persisten las disparidades económicas. Los grupos marginados tienen una representación moderada en la sociedad civil y la gobernanza, con una creciente influencia en los debates de políticas. Existe una tolerancia general hacia la diversidad, aunque persiste resistencia en algunos sectores de la sociedad.</w:t>
            </w:r>
          </w:p>
        </w:tc>
      </w:tr>
      <w:tr w:rsidR="00266C8C" w:rsidRPr="009B0F1D" w14:paraId="411729F6" w14:textId="77777777" w:rsidTr="001F02C0">
        <w:tc>
          <w:tcPr>
            <w:tcW w:w="0" w:type="auto"/>
            <w:hideMark/>
          </w:tcPr>
          <w:p w14:paraId="23251550"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60AF532F" w14:textId="3F7830BB" w:rsidR="00266C8C" w:rsidRPr="00710515" w:rsidRDefault="00266C8C" w:rsidP="00EC3C5F">
            <w:pPr>
              <w:spacing w:after="120" w:line="276" w:lineRule="auto"/>
              <w:rPr>
                <w:rFonts w:ascii="Arial" w:hAnsi="Arial" w:cs="Arial"/>
                <w:lang w:val="es-ES"/>
              </w:rPr>
            </w:pPr>
            <w:r w:rsidRPr="00266C8C">
              <w:rPr>
                <w:rFonts w:ascii="Arial" w:hAnsi="Arial" w:cs="Arial"/>
                <w:lang w:val="es-ES"/>
              </w:rPr>
              <w:t>Las estructuras legales e institucionales apoyan activamente la igualdad, con pocas barreras para la participación de los grupos marginados. Estos grupos tienen una representación significativa en la gobernanza y la sociedad civil, influyendo en las decisiones y políticas. Hay un amplio apoyo a las alianzas sociales diversas, aunque la integración de las poblaciones marginadas en estas alianzas, especialmente en posiciones de liderazgo, aún es limitada.</w:t>
            </w:r>
          </w:p>
        </w:tc>
      </w:tr>
      <w:tr w:rsidR="00266C8C" w:rsidRPr="009B0F1D" w14:paraId="1156E87C" w14:textId="77777777" w:rsidTr="001F02C0">
        <w:tc>
          <w:tcPr>
            <w:tcW w:w="0" w:type="auto"/>
            <w:hideMark/>
          </w:tcPr>
          <w:p w14:paraId="30B18DD2" w14:textId="77777777" w:rsidR="00266C8C" w:rsidRPr="00710515" w:rsidRDefault="00266C8C" w:rsidP="00EC3C5F">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269A87C2" w14:textId="65CF1FE0" w:rsidR="00266C8C" w:rsidRPr="00710515" w:rsidRDefault="00266C8C" w:rsidP="00EC3C5F">
            <w:pPr>
              <w:spacing w:after="120" w:line="276" w:lineRule="auto"/>
              <w:rPr>
                <w:rFonts w:ascii="Arial" w:hAnsi="Arial" w:cs="Arial"/>
                <w:lang w:val="es-ES"/>
              </w:rPr>
            </w:pPr>
            <w:r w:rsidRPr="00266C8C">
              <w:rPr>
                <w:rFonts w:ascii="Arial" w:hAnsi="Arial" w:cs="Arial"/>
                <w:lang w:val="es-ES"/>
              </w:rPr>
              <w:t xml:space="preserve">Todos los grupos tienen igualdad de oportunidades legales, sociales y económicas para participar en los procesos políticos. Se han eliminado las barreras a la participación. La gobernanza y la sociedad civil reflejan plenamente la diversidad de la población, </w:t>
            </w:r>
            <w:r w:rsidRPr="00266C8C">
              <w:rPr>
                <w:rFonts w:ascii="Arial" w:hAnsi="Arial" w:cs="Arial"/>
                <w:lang w:val="es-ES"/>
              </w:rPr>
              <w:lastRenderedPageBreak/>
              <w:t>con una representación equitativa y poder de decisión para los grupos marginados. La sociedad promueve activamente la inclusión y está profundamente comprometida con la igualdad y el apoyo a las comunidades marginadas en todos los niveles.</w:t>
            </w:r>
          </w:p>
        </w:tc>
      </w:tr>
    </w:tbl>
    <w:p w14:paraId="63D25F7B" w14:textId="5606C4B1" w:rsidR="00266C8C" w:rsidRPr="00266C8C" w:rsidRDefault="00266C8C" w:rsidP="00EC3C5F">
      <w:pPr>
        <w:spacing w:after="120" w:line="276" w:lineRule="auto"/>
        <w:rPr>
          <w:rFonts w:ascii="Arial" w:hAnsi="Arial" w:cs="Arial"/>
        </w:rPr>
      </w:pPr>
      <w:r w:rsidRPr="00266C8C">
        <w:rPr>
          <w:rFonts w:ascii="Arial" w:hAnsi="Arial" w:cs="Arial"/>
        </w:rPr>
        <w:lastRenderedPageBreak/>
        <w:t xml:space="preserve"> </w:t>
      </w:r>
    </w:p>
    <w:p w14:paraId="7E524BCC" w14:textId="77777777" w:rsidR="009A179F" w:rsidRDefault="00266C8C" w:rsidP="00EC3C5F">
      <w:pPr>
        <w:spacing w:after="120" w:line="276" w:lineRule="auto"/>
        <w:rPr>
          <w:rFonts w:ascii="Arial" w:hAnsi="Arial" w:cs="Arial"/>
          <w:color w:val="1F3864" w:themeColor="accent1" w:themeShade="80"/>
        </w:rPr>
      </w:pPr>
      <w:r w:rsidRPr="00266C8C">
        <w:rPr>
          <w:rFonts w:ascii="Arial" w:hAnsi="Arial" w:cs="Arial"/>
          <w:b/>
          <w:bCs/>
          <w:color w:val="1F3864" w:themeColor="accent1" w:themeShade="80"/>
        </w:rPr>
        <w:t xml:space="preserve">Preguntas orientadoras para el Principio 6: </w:t>
      </w:r>
      <w:r w:rsidRPr="00266C8C">
        <w:rPr>
          <w:rFonts w:ascii="Arial" w:hAnsi="Arial" w:cs="Arial"/>
          <w:color w:val="1F3864" w:themeColor="accent1" w:themeShade="80"/>
        </w:rPr>
        <w:t>Acceso a un Entorno Digital Seguro</w:t>
      </w:r>
    </w:p>
    <w:p w14:paraId="49B4BBE7" w14:textId="77777777" w:rsidR="009A179F" w:rsidRDefault="009A179F" w:rsidP="00EC3C5F">
      <w:pPr>
        <w:spacing w:after="120" w:line="276" w:lineRule="auto"/>
        <w:rPr>
          <w:rFonts w:ascii="Arial" w:hAnsi="Arial" w:cs="Arial"/>
          <w:color w:val="1F3864" w:themeColor="accent1" w:themeShade="80"/>
        </w:rPr>
      </w:pPr>
    </w:p>
    <w:p w14:paraId="4A1014A9" w14:textId="77777777" w:rsidR="009A179F" w:rsidRPr="009A179F" w:rsidRDefault="009A179F" w:rsidP="009A179F">
      <w:pPr>
        <w:spacing w:after="120" w:line="276" w:lineRule="auto"/>
        <w:rPr>
          <w:rFonts w:ascii="Arial" w:hAnsi="Arial" w:cs="Arial"/>
          <w:b/>
          <w:bCs/>
          <w:color w:val="1F3864" w:themeColor="accent1" w:themeShade="80"/>
          <w:lang w:val="es-UY"/>
        </w:rPr>
      </w:pPr>
      <w:r w:rsidRPr="009A179F">
        <w:rPr>
          <w:rFonts w:ascii="Arial" w:hAnsi="Arial" w:cs="Arial"/>
          <w:b/>
          <w:bCs/>
          <w:color w:val="1F3864" w:themeColor="accent1" w:themeShade="80"/>
          <w:lang w:val="es-UY"/>
        </w:rPr>
        <w:t>6.1 | Derechos y Libertades Digitales</w:t>
      </w:r>
    </w:p>
    <w:p w14:paraId="65F584F0" w14:textId="77777777" w:rsidR="009A179F" w:rsidRPr="009A179F" w:rsidRDefault="009A179F" w:rsidP="009A179F">
      <w:pPr>
        <w:spacing w:after="120" w:line="276" w:lineRule="auto"/>
        <w:rPr>
          <w:rFonts w:ascii="Arial" w:hAnsi="Arial" w:cs="Arial"/>
          <w:lang w:val="es-UY"/>
        </w:rPr>
      </w:pPr>
      <w:r w:rsidRPr="009A179F">
        <w:rPr>
          <w:rFonts w:ascii="Arial" w:hAnsi="Arial" w:cs="Arial"/>
          <w:b/>
          <w:bCs/>
          <w:lang w:val="es-UY"/>
        </w:rPr>
        <w:t>Preguntas:</w:t>
      </w:r>
    </w:p>
    <w:p w14:paraId="16F9DA75" w14:textId="77777777" w:rsidR="009A179F" w:rsidRPr="009A179F" w:rsidRDefault="009A179F" w:rsidP="009A179F">
      <w:pPr>
        <w:numPr>
          <w:ilvl w:val="0"/>
          <w:numId w:val="39"/>
        </w:numPr>
        <w:spacing w:after="120" w:line="276" w:lineRule="auto"/>
        <w:rPr>
          <w:rFonts w:ascii="Arial" w:hAnsi="Arial" w:cs="Arial"/>
          <w:lang w:val="es-UY"/>
        </w:rPr>
      </w:pPr>
      <w:r w:rsidRPr="009A179F">
        <w:rPr>
          <w:rFonts w:ascii="Arial" w:hAnsi="Arial" w:cs="Arial"/>
          <w:lang w:val="es-UY"/>
        </w:rPr>
        <w:t>¿Con qué frecuencia e impacto se producen apagones de internet y redes sociales en el país? Considera la frecuencia de estos apagones y sus efectos en la capacidad de las OSC para operar, así como el momento y la justificación de tales apagones (por ejemplo, durante protestas o elecciones).</w:t>
      </w:r>
    </w:p>
    <w:p w14:paraId="0A3E8A3B" w14:textId="77777777" w:rsidR="009A179F" w:rsidRPr="009A179F" w:rsidRDefault="009A179F" w:rsidP="009A179F">
      <w:pPr>
        <w:numPr>
          <w:ilvl w:val="0"/>
          <w:numId w:val="39"/>
        </w:numPr>
        <w:spacing w:after="120" w:line="276" w:lineRule="auto"/>
        <w:rPr>
          <w:rFonts w:ascii="Arial" w:hAnsi="Arial" w:cs="Arial"/>
          <w:lang w:val="es-UY"/>
        </w:rPr>
      </w:pPr>
      <w:r w:rsidRPr="009A179F">
        <w:rPr>
          <w:rFonts w:ascii="Arial" w:hAnsi="Arial" w:cs="Arial"/>
          <w:lang w:val="es-UY"/>
        </w:rPr>
        <w:t>¿Existen leyes, regulaciones o políticas gubernamentales propuestas o en vigor relacionadas con la libertad de internet y el contenido en línea? ¿Se aplican estas políticas y cómo abordan las prácticas de aplicación tanto el uso indebido como la distorsión de información por parte del gobierno y actores no estatales, como a través de la manipulación o la vigilancia?</w:t>
      </w:r>
    </w:p>
    <w:p w14:paraId="1C49B71A" w14:textId="77777777" w:rsidR="009A179F" w:rsidRPr="009A179F" w:rsidRDefault="009A179F" w:rsidP="009A179F">
      <w:pPr>
        <w:numPr>
          <w:ilvl w:val="0"/>
          <w:numId w:val="39"/>
        </w:numPr>
        <w:spacing w:after="120" w:line="276" w:lineRule="auto"/>
        <w:rPr>
          <w:rFonts w:ascii="Arial" w:hAnsi="Arial" w:cs="Arial"/>
          <w:lang w:val="es-UY"/>
        </w:rPr>
      </w:pPr>
      <w:r w:rsidRPr="009A179F">
        <w:rPr>
          <w:rFonts w:ascii="Arial" w:hAnsi="Arial" w:cs="Arial"/>
          <w:lang w:val="es-UY"/>
        </w:rPr>
        <w:t>¿Con qué frecuencia el gobierno censura contenido político en internet y redes sociales, incluyendo el filtrado de sitios web, la eliminación de publicaciones y la vigilancia de actividades políticas, particularmente aquellas dirigidas a las OSC y sus miembros? ¿Qué tan extensa y específica es la censura y vigilancia en redes sociales?</w:t>
      </w:r>
    </w:p>
    <w:p w14:paraId="530226BA" w14:textId="77777777" w:rsidR="009A179F" w:rsidRPr="009A179F" w:rsidRDefault="009A179F" w:rsidP="009A179F">
      <w:pPr>
        <w:numPr>
          <w:ilvl w:val="0"/>
          <w:numId w:val="39"/>
        </w:numPr>
        <w:spacing w:after="120" w:line="276" w:lineRule="auto"/>
        <w:rPr>
          <w:rFonts w:ascii="Arial" w:hAnsi="Arial" w:cs="Arial"/>
          <w:lang w:val="es-UY"/>
        </w:rPr>
      </w:pPr>
      <w:r w:rsidRPr="009A179F">
        <w:rPr>
          <w:rFonts w:ascii="Arial" w:hAnsi="Arial" w:cs="Arial"/>
          <w:lang w:val="es-UY"/>
        </w:rPr>
        <w:t>¿Qué papel desempeñan las plataformas privadas, como las empresas de redes sociales, en el filtrado de contenido y cómo se alinea o entra en conflicto esto con las políticas gubernamentales? ¿Qué medidas existen para garantizar la transparencia y la rendición de cuentas?</w:t>
      </w:r>
    </w:p>
    <w:p w14:paraId="149495F3" w14:textId="77777777" w:rsidR="009A179F" w:rsidRPr="009A179F" w:rsidRDefault="009A179F" w:rsidP="009A179F">
      <w:pPr>
        <w:numPr>
          <w:ilvl w:val="0"/>
          <w:numId w:val="39"/>
        </w:numPr>
        <w:spacing w:after="120" w:line="276" w:lineRule="auto"/>
        <w:rPr>
          <w:rFonts w:ascii="Arial" w:hAnsi="Arial" w:cs="Arial"/>
          <w:lang w:val="es-UY"/>
        </w:rPr>
      </w:pPr>
      <w:r w:rsidRPr="009A179F">
        <w:rPr>
          <w:rFonts w:ascii="Arial" w:hAnsi="Arial" w:cs="Arial"/>
          <w:lang w:val="es-UY"/>
        </w:rPr>
        <w:t>¿Existen incidentes de activistas de OSC, periodistas o individuos detenidos o perseguidos por sus actividades en línea? Proporciona detalles de casos específicos o tendencias, destacando la participación del Estado y de actores no estatales (por ejemplo, empresas tecnológicas o individuos privados).</w:t>
      </w:r>
    </w:p>
    <w:p w14:paraId="21B409DB" w14:textId="0A3DE092" w:rsidR="00266C8C" w:rsidRPr="009B0F1D" w:rsidRDefault="00266C8C" w:rsidP="00EC3C5F">
      <w:pPr>
        <w:spacing w:after="120" w:line="276" w:lineRule="auto"/>
        <w:rPr>
          <w:rFonts w:ascii="Arial" w:hAnsi="Arial" w:cs="Arial"/>
          <w:color w:val="1F3864" w:themeColor="accent1" w:themeShade="80"/>
        </w:rPr>
      </w:pPr>
    </w:p>
    <w:tbl>
      <w:tblPr>
        <w:tblStyle w:val="TableGrid"/>
        <w:tblW w:w="0" w:type="auto"/>
        <w:tblLook w:val="04A0" w:firstRow="1" w:lastRow="0" w:firstColumn="1" w:lastColumn="0" w:noHBand="0" w:noVBand="1"/>
      </w:tblPr>
      <w:tblGrid>
        <w:gridCol w:w="1811"/>
        <w:gridCol w:w="6683"/>
      </w:tblGrid>
      <w:tr w:rsidR="007D4989" w:rsidRPr="00710515" w14:paraId="0D5B2F5E" w14:textId="77777777" w:rsidTr="00F4471C">
        <w:tc>
          <w:tcPr>
            <w:tcW w:w="0" w:type="auto"/>
            <w:hideMark/>
          </w:tcPr>
          <w:p w14:paraId="35AD2D33" w14:textId="77777777" w:rsidR="007D4989" w:rsidRPr="00710515" w:rsidRDefault="007D4989" w:rsidP="00F4471C">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4FABD019" w14:textId="77777777" w:rsidR="007D4989" w:rsidRPr="00710515" w:rsidRDefault="007D4989" w:rsidP="00F4471C">
            <w:pPr>
              <w:spacing w:after="120" w:line="276" w:lineRule="auto"/>
              <w:rPr>
                <w:rFonts w:ascii="Arial" w:hAnsi="Arial" w:cs="Arial"/>
                <w:b/>
                <w:bCs/>
                <w:lang w:val="es-ES"/>
              </w:rPr>
            </w:pPr>
            <w:r w:rsidRPr="00710515">
              <w:rPr>
                <w:rFonts w:ascii="Arial" w:hAnsi="Arial" w:cs="Arial"/>
                <w:b/>
                <w:bCs/>
                <w:lang w:val="es-ES"/>
              </w:rPr>
              <w:t>Descripción</w:t>
            </w:r>
          </w:p>
        </w:tc>
      </w:tr>
      <w:tr w:rsidR="007D4989" w:rsidRPr="00710515" w14:paraId="371459B9" w14:textId="77777777" w:rsidTr="00F4471C">
        <w:tc>
          <w:tcPr>
            <w:tcW w:w="0" w:type="auto"/>
            <w:hideMark/>
          </w:tcPr>
          <w:p w14:paraId="7E34EC48" w14:textId="77777777" w:rsidR="007D4989" w:rsidRPr="00710515" w:rsidRDefault="007D4989" w:rsidP="00F4471C">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4F597CC4" w14:textId="25766EEF" w:rsidR="007D4989" w:rsidRPr="00710515" w:rsidRDefault="00D56C9C" w:rsidP="00F4471C">
            <w:pPr>
              <w:spacing w:after="120" w:line="276" w:lineRule="auto"/>
              <w:rPr>
                <w:rFonts w:ascii="Arial" w:hAnsi="Arial" w:cs="Arial"/>
                <w:lang w:val="es-ES"/>
              </w:rPr>
            </w:pPr>
            <w:r w:rsidRPr="00D56C9C">
              <w:rPr>
                <w:rFonts w:ascii="Arial" w:hAnsi="Arial" w:cs="Arial"/>
                <w:lang w:val="es-ES"/>
              </w:rPr>
              <w:t>Las autoridades interrumpen con frecuencia el acceso a internet y redes sociales, especialmente durante eventos políticos (por ejemplo, protestas, elecciones). Hay una vigilancia y censura extensiva del contenido político, permitiendo solo sitios progubernamentales y bloqueando contenido crítico. No se aplican leyes o regulaciones sobre libertad en internet, y tanto el gobierno como actores no estatales manipulan la información. Se producen frecuentes detenciones de activistas de OSC y personas críticas con el gobierno por sus actividades en línea.</w:t>
            </w:r>
          </w:p>
        </w:tc>
      </w:tr>
      <w:tr w:rsidR="007D4989" w:rsidRPr="00710515" w14:paraId="39DAA4C7" w14:textId="77777777" w:rsidTr="00F4471C">
        <w:tc>
          <w:tcPr>
            <w:tcW w:w="0" w:type="auto"/>
            <w:hideMark/>
          </w:tcPr>
          <w:p w14:paraId="22C2E4FA" w14:textId="77777777" w:rsidR="007D4989" w:rsidRPr="00710515" w:rsidRDefault="007D4989" w:rsidP="00F4471C">
            <w:pPr>
              <w:spacing w:after="120" w:line="276" w:lineRule="auto"/>
              <w:rPr>
                <w:rFonts w:ascii="Arial" w:hAnsi="Arial" w:cs="Arial"/>
                <w:lang w:val="es-ES"/>
              </w:rPr>
            </w:pPr>
            <w:r w:rsidRPr="009B0F1D">
              <w:rPr>
                <w:rFonts w:ascii="Arial" w:hAnsi="Arial" w:cs="Arial"/>
                <w:b/>
                <w:bCs/>
                <w:lang w:val="es-ES"/>
              </w:rPr>
              <w:lastRenderedPageBreak/>
              <w:t>Inhibidor</w:t>
            </w:r>
            <w:r w:rsidRPr="00710515">
              <w:rPr>
                <w:rFonts w:ascii="Arial" w:hAnsi="Arial" w:cs="Arial"/>
                <w:b/>
                <w:bCs/>
                <w:lang w:val="es-ES"/>
              </w:rPr>
              <w:t xml:space="preserve"> (2)</w:t>
            </w:r>
          </w:p>
        </w:tc>
        <w:tc>
          <w:tcPr>
            <w:tcW w:w="0" w:type="auto"/>
          </w:tcPr>
          <w:p w14:paraId="29D70B56" w14:textId="21591230" w:rsidR="007D4989" w:rsidRPr="00710515" w:rsidRDefault="00D56C9C" w:rsidP="00F4471C">
            <w:pPr>
              <w:spacing w:after="120" w:line="276" w:lineRule="auto"/>
              <w:rPr>
                <w:rFonts w:ascii="Arial" w:hAnsi="Arial" w:cs="Arial"/>
                <w:lang w:val="es-ES"/>
              </w:rPr>
            </w:pPr>
            <w:r w:rsidRPr="00D56C9C">
              <w:rPr>
                <w:rFonts w:ascii="Arial" w:hAnsi="Arial" w:cs="Arial"/>
                <w:lang w:val="es-ES"/>
              </w:rPr>
              <w:t xml:space="preserve">Las autoridades interrumpen con frecuencia el acceso a plataformas de redes sociales y a internet, especialmente en eventos sensibles. La vigilancia del contenido político en redes sociales es generalizada, con monitoreo de la mayoría de los temas clave y activistas. El gobierno censura ampliamente la información política en internet, eliminando una cantidad significativa de contenido crítico. Las leyes o regulaciones sobre libertad en internet </w:t>
            </w:r>
            <w:proofErr w:type="gramStart"/>
            <w:r w:rsidRPr="00D56C9C">
              <w:rPr>
                <w:rFonts w:ascii="Arial" w:hAnsi="Arial" w:cs="Arial"/>
                <w:lang w:val="es-ES"/>
              </w:rPr>
              <w:t>existen</w:t>
            </w:r>
            <w:proofErr w:type="gramEnd"/>
            <w:r w:rsidRPr="00D56C9C">
              <w:rPr>
                <w:rFonts w:ascii="Arial" w:hAnsi="Arial" w:cs="Arial"/>
                <w:lang w:val="es-ES"/>
              </w:rPr>
              <w:t xml:space="preserve"> pero son débiles y su aplicación es inconsistente. Hay incidentes de detención de activistas de OSC y otras personas críticas con el gobierno por sus actividades en línea.</w:t>
            </w:r>
          </w:p>
        </w:tc>
      </w:tr>
      <w:tr w:rsidR="007D4989" w:rsidRPr="00710515" w14:paraId="59FCE0F3" w14:textId="77777777" w:rsidTr="00F4471C">
        <w:tc>
          <w:tcPr>
            <w:tcW w:w="0" w:type="auto"/>
            <w:hideMark/>
          </w:tcPr>
          <w:p w14:paraId="13F04B86" w14:textId="77777777" w:rsidR="007D4989" w:rsidRPr="00710515" w:rsidRDefault="007D4989" w:rsidP="00F4471C">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048E165F" w14:textId="7A20C8F2" w:rsidR="007D4989" w:rsidRPr="00710515" w:rsidRDefault="00D56C9C" w:rsidP="00F4471C">
            <w:pPr>
              <w:spacing w:after="120" w:line="276" w:lineRule="auto"/>
              <w:rPr>
                <w:rFonts w:ascii="Arial" w:hAnsi="Arial" w:cs="Arial"/>
                <w:lang w:val="es-ES"/>
              </w:rPr>
            </w:pPr>
            <w:r w:rsidRPr="00D56C9C">
              <w:rPr>
                <w:rFonts w:ascii="Arial" w:hAnsi="Arial" w:cs="Arial"/>
                <w:lang w:val="es-ES"/>
              </w:rPr>
              <w:t>Las autoridades interrumpen ocasionalmente el acceso a plataformas de redes sociales o amenazan con hacerlo. La vigilancia y monitoreo del contenido se realiza de manera ocasional. El gobierno censura selectivamente la información política en internet. Se censura una parte significativa del contenido político en redes sociales, pero no en su totalidad. Existen leyes, regulaciones o políticas gubernamentales sobre la libertad en internet y el contenido en línea. Se producen detenciones ocasionales de activistas por actividades en línea críticas con el gobierno.</w:t>
            </w:r>
          </w:p>
        </w:tc>
      </w:tr>
      <w:tr w:rsidR="007D4989" w:rsidRPr="00710515" w14:paraId="77B40642" w14:textId="77777777" w:rsidTr="00F4471C">
        <w:tc>
          <w:tcPr>
            <w:tcW w:w="0" w:type="auto"/>
            <w:hideMark/>
          </w:tcPr>
          <w:p w14:paraId="554EAB15" w14:textId="77777777" w:rsidR="007D4989" w:rsidRPr="00710515" w:rsidRDefault="007D4989" w:rsidP="00F4471C">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4606388B" w14:textId="715E8A26" w:rsidR="007D4989" w:rsidRPr="00710515" w:rsidRDefault="00F44E78" w:rsidP="00F4471C">
            <w:pPr>
              <w:spacing w:after="120" w:line="276" w:lineRule="auto"/>
              <w:rPr>
                <w:rFonts w:ascii="Arial" w:hAnsi="Arial" w:cs="Arial"/>
                <w:lang w:val="es-ES"/>
              </w:rPr>
            </w:pPr>
            <w:r w:rsidRPr="00F44E78">
              <w:rPr>
                <w:rFonts w:ascii="Arial" w:hAnsi="Arial" w:cs="Arial"/>
                <w:lang w:val="es-ES"/>
              </w:rPr>
              <w:t>Las autoridades rara vez interrumpen el acceso a plataformas de redes sociales e internet. La vigilancia del contenido político en redes sociales es limitada y el monitoreo es mínimo. El gobierno rara vez censura información política en internet, permitiendo que la mayoría del contenido permanezca accesible. Solo se censura contenido relacionado con temas especialmente sensibles. Existen leyes, regulaciones o políticas gubernamentales integrales sobre la libertad en internet y el contenido en línea. El gobierno respeta las voces alternativas y no detiene activistas críticos.</w:t>
            </w:r>
          </w:p>
        </w:tc>
      </w:tr>
      <w:tr w:rsidR="007D4989" w:rsidRPr="00710515" w14:paraId="0F3D1AF3" w14:textId="77777777" w:rsidTr="00F4471C">
        <w:tc>
          <w:tcPr>
            <w:tcW w:w="0" w:type="auto"/>
            <w:hideMark/>
          </w:tcPr>
          <w:p w14:paraId="5061030B" w14:textId="77777777" w:rsidR="007D4989" w:rsidRPr="00710515" w:rsidRDefault="007D4989" w:rsidP="00F4471C">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34BE9A95" w14:textId="6CEBA5BA" w:rsidR="007D4989" w:rsidRPr="00710515" w:rsidRDefault="00F44E78" w:rsidP="00F4471C">
            <w:pPr>
              <w:spacing w:after="120" w:line="276" w:lineRule="auto"/>
              <w:rPr>
                <w:rFonts w:ascii="Arial" w:hAnsi="Arial" w:cs="Arial"/>
                <w:lang w:val="es-ES"/>
              </w:rPr>
            </w:pPr>
            <w:r w:rsidRPr="00F44E78">
              <w:rPr>
                <w:rFonts w:ascii="Arial" w:hAnsi="Arial" w:cs="Arial"/>
                <w:lang w:val="es-ES"/>
              </w:rPr>
              <w:t>Las autoridades nunca interrumpen el acceso a redes sociales o internet. La vigilancia del contenido político en redes sociales es mínima o inexistente. El gobierno no censura información política en internet, permitiendo acceso irrestricto. Existen leyes y políticas gubernamentales sólidas sobre la libertad en internet y el contenido en línea. El gobierno respeta la libertad de las OSC y los activistas para llevar a cabo su trabajo sin temor a ser detenidos.</w:t>
            </w:r>
          </w:p>
        </w:tc>
      </w:tr>
    </w:tbl>
    <w:p w14:paraId="55B2260D" w14:textId="77777777" w:rsidR="00A35376" w:rsidRDefault="00A35376" w:rsidP="00EC3C5F">
      <w:pPr>
        <w:spacing w:after="120" w:line="276" w:lineRule="auto"/>
        <w:rPr>
          <w:rFonts w:ascii="Arial" w:hAnsi="Arial" w:cs="Arial"/>
        </w:rPr>
      </w:pPr>
    </w:p>
    <w:p w14:paraId="146FC998" w14:textId="77777777" w:rsidR="00F44E78" w:rsidRPr="00F44E78" w:rsidRDefault="00F44E78" w:rsidP="00F44E78">
      <w:pPr>
        <w:spacing w:after="120" w:line="276" w:lineRule="auto"/>
        <w:rPr>
          <w:rFonts w:ascii="Arial" w:hAnsi="Arial" w:cs="Arial"/>
          <w:b/>
          <w:bCs/>
          <w:lang w:val="es-UY"/>
        </w:rPr>
      </w:pPr>
      <w:r w:rsidRPr="00F44E78">
        <w:rPr>
          <w:rFonts w:ascii="Arial" w:hAnsi="Arial" w:cs="Arial"/>
          <w:b/>
          <w:bCs/>
          <w:lang w:val="es-UY"/>
        </w:rPr>
        <w:t>6.2 | Seguridad Digital y Privacidad</w:t>
      </w:r>
    </w:p>
    <w:p w14:paraId="1F957701" w14:textId="77777777" w:rsidR="00F44E78" w:rsidRPr="00F44E78" w:rsidRDefault="00F44E78" w:rsidP="00F44E78">
      <w:pPr>
        <w:spacing w:after="120" w:line="276" w:lineRule="auto"/>
        <w:rPr>
          <w:rFonts w:ascii="Arial" w:hAnsi="Arial" w:cs="Arial"/>
          <w:lang w:val="es-UY"/>
        </w:rPr>
      </w:pPr>
      <w:r w:rsidRPr="00F44E78">
        <w:rPr>
          <w:rFonts w:ascii="Arial" w:hAnsi="Arial" w:cs="Arial"/>
          <w:b/>
          <w:bCs/>
          <w:lang w:val="es-UY"/>
        </w:rPr>
        <w:t>Preguntas:</w:t>
      </w:r>
    </w:p>
    <w:p w14:paraId="44033056" w14:textId="77777777" w:rsidR="00F44E78" w:rsidRPr="00F44E78" w:rsidRDefault="00F44E78" w:rsidP="00F44E78">
      <w:pPr>
        <w:numPr>
          <w:ilvl w:val="0"/>
          <w:numId w:val="40"/>
        </w:numPr>
        <w:spacing w:after="120" w:line="276" w:lineRule="auto"/>
        <w:rPr>
          <w:rFonts w:ascii="Arial" w:hAnsi="Arial" w:cs="Arial"/>
          <w:lang w:val="es-UY"/>
        </w:rPr>
      </w:pPr>
      <w:r w:rsidRPr="00F44E78">
        <w:rPr>
          <w:rFonts w:ascii="Arial" w:hAnsi="Arial" w:cs="Arial"/>
          <w:lang w:val="es-UY"/>
        </w:rPr>
        <w:t xml:space="preserve">¿Existe evidencia de que agencias gubernamentales u otros actores relevantes (por ejemplo, empresas privadas, grupos no estatales) han llevado a cabo ciberataques, han utilizado software espía, </w:t>
      </w:r>
      <w:proofErr w:type="gramStart"/>
      <w:r w:rsidRPr="00F44E78">
        <w:rPr>
          <w:rFonts w:ascii="Arial" w:hAnsi="Arial" w:cs="Arial"/>
          <w:lang w:val="es-UY"/>
        </w:rPr>
        <w:t>malware</w:t>
      </w:r>
      <w:proofErr w:type="gramEnd"/>
      <w:r w:rsidRPr="00F44E78">
        <w:rPr>
          <w:rFonts w:ascii="Arial" w:hAnsi="Arial" w:cs="Arial"/>
          <w:lang w:val="es-UY"/>
        </w:rPr>
        <w:t xml:space="preserve"> u otras herramientas de </w:t>
      </w:r>
      <w:r w:rsidRPr="00F44E78">
        <w:rPr>
          <w:rFonts w:ascii="Arial" w:hAnsi="Arial" w:cs="Arial"/>
          <w:lang w:val="es-UY"/>
        </w:rPr>
        <w:lastRenderedPageBreak/>
        <w:t>piratería para infiltrarse en los dispositivos, redes o plataformas de comunicación en línea de actores de la sociedad civil (por ejemplo, correo electrónico, aplicaciones de mensajería, etc.)? ¿Con qué frecuencia ocurren estos ataques y cuál es su impacto en la capacidad de los actores de la sociedad civil para operar de manera segura en línea?</w:t>
      </w:r>
    </w:p>
    <w:p w14:paraId="49623E51" w14:textId="77777777" w:rsidR="00F44E78" w:rsidRPr="00F44E78" w:rsidRDefault="00F44E78" w:rsidP="00F44E78">
      <w:pPr>
        <w:numPr>
          <w:ilvl w:val="0"/>
          <w:numId w:val="40"/>
        </w:numPr>
        <w:spacing w:after="120" w:line="276" w:lineRule="auto"/>
        <w:rPr>
          <w:rFonts w:ascii="Arial" w:hAnsi="Arial" w:cs="Arial"/>
          <w:lang w:val="es-UY"/>
        </w:rPr>
      </w:pPr>
      <w:r w:rsidRPr="00F44E78">
        <w:rPr>
          <w:rFonts w:ascii="Arial" w:hAnsi="Arial" w:cs="Arial"/>
          <w:lang w:val="es-UY"/>
        </w:rPr>
        <w:t>¿Existen leyes de protección de datos que salvaguarden la privacidad digital de los actores de la sociedad civil, particularmente en lo que respecta a sus comunicaciones y actividades en línea? ¿Qué mecanismos de recurso existen para los actores de la sociedad civil que experimentan violaciones a su privacidad digital, como piratería, vigilancia o filtraciones de datos?</w:t>
      </w:r>
    </w:p>
    <w:p w14:paraId="58FD728E" w14:textId="77777777" w:rsidR="00F44E78" w:rsidRPr="00F44E78" w:rsidRDefault="00F44E78" w:rsidP="00F44E78">
      <w:pPr>
        <w:numPr>
          <w:ilvl w:val="0"/>
          <w:numId w:val="40"/>
        </w:numPr>
        <w:spacing w:after="120" w:line="276" w:lineRule="auto"/>
        <w:rPr>
          <w:rFonts w:ascii="Arial" w:hAnsi="Arial" w:cs="Arial"/>
          <w:lang w:val="es-UY"/>
        </w:rPr>
      </w:pPr>
      <w:r w:rsidRPr="00F44E78">
        <w:rPr>
          <w:rFonts w:ascii="Arial" w:hAnsi="Arial" w:cs="Arial"/>
          <w:lang w:val="es-UY"/>
        </w:rPr>
        <w:t xml:space="preserve">¿Existe evidencia de cuentas vinculadas al gobierno, </w:t>
      </w:r>
      <w:proofErr w:type="spellStart"/>
      <w:r w:rsidRPr="00F44E78">
        <w:rPr>
          <w:rFonts w:ascii="Arial" w:hAnsi="Arial" w:cs="Arial"/>
          <w:lang w:val="es-UY"/>
        </w:rPr>
        <w:t>bots</w:t>
      </w:r>
      <w:proofErr w:type="spellEnd"/>
      <w:r w:rsidRPr="00F44E78">
        <w:rPr>
          <w:rFonts w:ascii="Arial" w:hAnsi="Arial" w:cs="Arial"/>
          <w:lang w:val="es-UY"/>
        </w:rPr>
        <w:t xml:space="preserve"> o actores que difundan desinformación, intimiden a actores de la sociedad civil en línea o manipulen conversaciones para desacreditarlos?</w:t>
      </w:r>
    </w:p>
    <w:p w14:paraId="1A0FD302" w14:textId="77777777" w:rsidR="009A179F" w:rsidRPr="00F44E78" w:rsidRDefault="009A179F" w:rsidP="00EC3C5F">
      <w:pPr>
        <w:spacing w:after="120" w:line="276" w:lineRule="auto"/>
        <w:rPr>
          <w:rFonts w:ascii="Arial" w:hAnsi="Arial" w:cs="Arial"/>
          <w:lang w:val="es-UY"/>
        </w:rPr>
      </w:pPr>
    </w:p>
    <w:tbl>
      <w:tblPr>
        <w:tblStyle w:val="TableGrid"/>
        <w:tblW w:w="0" w:type="auto"/>
        <w:tblLook w:val="04A0" w:firstRow="1" w:lastRow="0" w:firstColumn="1" w:lastColumn="0" w:noHBand="0" w:noVBand="1"/>
      </w:tblPr>
      <w:tblGrid>
        <w:gridCol w:w="1824"/>
        <w:gridCol w:w="6670"/>
      </w:tblGrid>
      <w:tr w:rsidR="009A179F" w:rsidRPr="00710515" w14:paraId="263A4868" w14:textId="77777777" w:rsidTr="00F4471C">
        <w:tc>
          <w:tcPr>
            <w:tcW w:w="0" w:type="auto"/>
            <w:hideMark/>
          </w:tcPr>
          <w:p w14:paraId="3E0DEE4D" w14:textId="77777777" w:rsidR="009A179F" w:rsidRPr="00710515" w:rsidRDefault="009A179F" w:rsidP="00F4471C">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377BDF82" w14:textId="77777777" w:rsidR="009A179F" w:rsidRPr="00710515" w:rsidRDefault="009A179F" w:rsidP="00F4471C">
            <w:pPr>
              <w:spacing w:after="120" w:line="276" w:lineRule="auto"/>
              <w:rPr>
                <w:rFonts w:ascii="Arial" w:hAnsi="Arial" w:cs="Arial"/>
                <w:b/>
                <w:bCs/>
                <w:lang w:val="es-ES"/>
              </w:rPr>
            </w:pPr>
            <w:r w:rsidRPr="00710515">
              <w:rPr>
                <w:rFonts w:ascii="Arial" w:hAnsi="Arial" w:cs="Arial"/>
                <w:b/>
                <w:bCs/>
                <w:lang w:val="es-ES"/>
              </w:rPr>
              <w:t>Descripción</w:t>
            </w:r>
          </w:p>
        </w:tc>
      </w:tr>
      <w:tr w:rsidR="009A179F" w:rsidRPr="00710515" w14:paraId="5AD3C18D" w14:textId="77777777" w:rsidTr="00F4471C">
        <w:tc>
          <w:tcPr>
            <w:tcW w:w="0" w:type="auto"/>
            <w:hideMark/>
          </w:tcPr>
          <w:p w14:paraId="24F890E1" w14:textId="77777777" w:rsidR="009A179F" w:rsidRPr="00710515" w:rsidRDefault="009A179F" w:rsidP="00F4471C">
            <w:pPr>
              <w:spacing w:after="120" w:line="276" w:lineRule="auto"/>
              <w:rPr>
                <w:rFonts w:ascii="Arial" w:hAnsi="Arial" w:cs="Arial"/>
                <w:lang w:val="es-ES"/>
              </w:rPr>
            </w:pPr>
            <w:r w:rsidRPr="00710515">
              <w:rPr>
                <w:rFonts w:ascii="Arial" w:hAnsi="Arial" w:cs="Arial"/>
                <w:b/>
                <w:bCs/>
                <w:lang w:val="es-ES"/>
              </w:rPr>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6EDACC12" w14:textId="704E6E31" w:rsidR="009A179F" w:rsidRPr="00710515" w:rsidRDefault="00D1233B" w:rsidP="00F4471C">
            <w:pPr>
              <w:spacing w:after="120" w:line="276" w:lineRule="auto"/>
              <w:rPr>
                <w:rFonts w:ascii="Arial" w:hAnsi="Arial" w:cs="Arial"/>
                <w:lang w:val="es-ES"/>
              </w:rPr>
            </w:pPr>
            <w:r w:rsidRPr="00D1233B">
              <w:rPr>
                <w:rFonts w:ascii="Arial" w:hAnsi="Arial" w:cs="Arial"/>
                <w:lang w:val="es-ES"/>
              </w:rPr>
              <w:t xml:space="preserve">Las agencias gubernamentales u otros actores (por ejemplo, empresas privadas, grupos no estatales) participan con frecuencia en ciberataques, utilizando spyware, </w:t>
            </w:r>
            <w:proofErr w:type="gramStart"/>
            <w:r w:rsidRPr="00D1233B">
              <w:rPr>
                <w:rFonts w:ascii="Arial" w:hAnsi="Arial" w:cs="Arial"/>
                <w:lang w:val="es-ES"/>
              </w:rPr>
              <w:t>malware</w:t>
            </w:r>
            <w:proofErr w:type="gramEnd"/>
            <w:r w:rsidRPr="00D1233B">
              <w:rPr>
                <w:rFonts w:ascii="Arial" w:hAnsi="Arial" w:cs="Arial"/>
                <w:lang w:val="es-ES"/>
              </w:rPr>
              <w:t xml:space="preserve"> u otras herramientas de piratería para infiltrar los dispositivos, redes o plataformas de comunicación en línea de los actores de la sociedad civil. Las leyes de protección de datos son inexistentes o altamente inadecuadas, y la aplicación de </w:t>
            </w:r>
            <w:proofErr w:type="gramStart"/>
            <w:r w:rsidRPr="00D1233B">
              <w:rPr>
                <w:rFonts w:ascii="Arial" w:hAnsi="Arial" w:cs="Arial"/>
                <w:lang w:val="es-ES"/>
              </w:rPr>
              <w:t>las mismas</w:t>
            </w:r>
            <w:proofErr w:type="gramEnd"/>
            <w:r w:rsidRPr="00D1233B">
              <w:rPr>
                <w:rFonts w:ascii="Arial" w:hAnsi="Arial" w:cs="Arial"/>
                <w:lang w:val="es-ES"/>
              </w:rPr>
              <w:t xml:space="preserve"> es ineficaz. Los mecanismos de reparación por violaciones de la privacidad digital, como el pirateo o la vigilancia, son completamente inexistentes o ineficaces. El gobierno utiliza con frecuencia cuentas de redes sociales o </w:t>
            </w:r>
            <w:proofErr w:type="spellStart"/>
            <w:r w:rsidRPr="00D1233B">
              <w:rPr>
                <w:rFonts w:ascii="Arial" w:hAnsi="Arial" w:cs="Arial"/>
                <w:lang w:val="es-ES"/>
              </w:rPr>
              <w:t>bots</w:t>
            </w:r>
            <w:proofErr w:type="spellEnd"/>
            <w:r w:rsidRPr="00D1233B">
              <w:rPr>
                <w:rFonts w:ascii="Arial" w:hAnsi="Arial" w:cs="Arial"/>
                <w:lang w:val="es-ES"/>
              </w:rPr>
              <w:t xml:space="preserve"> para difundir desinformación, intimidar a los actores de la sociedad civil o manipular las conversaciones en línea para desacreditar a los actores de la sociedad civil y su trabajo.</w:t>
            </w:r>
          </w:p>
        </w:tc>
      </w:tr>
      <w:tr w:rsidR="009A179F" w:rsidRPr="00710515" w14:paraId="0E3DFB85" w14:textId="77777777" w:rsidTr="00F4471C">
        <w:tc>
          <w:tcPr>
            <w:tcW w:w="0" w:type="auto"/>
            <w:hideMark/>
          </w:tcPr>
          <w:p w14:paraId="08B53789" w14:textId="77777777" w:rsidR="009A179F" w:rsidRPr="00710515" w:rsidRDefault="009A179F" w:rsidP="00F4471C">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2B20392B" w14:textId="217CBD3F" w:rsidR="009A179F" w:rsidRPr="00710515" w:rsidRDefault="00241F51" w:rsidP="00F4471C">
            <w:pPr>
              <w:spacing w:after="120" w:line="276" w:lineRule="auto"/>
              <w:rPr>
                <w:rFonts w:ascii="Arial" w:hAnsi="Arial" w:cs="Arial"/>
                <w:lang w:val="es-ES"/>
              </w:rPr>
            </w:pPr>
            <w:r w:rsidRPr="00241F51">
              <w:rPr>
                <w:rFonts w:ascii="Arial" w:hAnsi="Arial" w:cs="Arial"/>
                <w:lang w:val="es-ES"/>
              </w:rPr>
              <w:t xml:space="preserve">Las agencias gubernamentales u otros actores (por ejemplo, empresas privadas, grupos no estatales) realizan regularmente ciberataques o utilizan spyware, </w:t>
            </w:r>
            <w:proofErr w:type="gramStart"/>
            <w:r w:rsidRPr="00241F51">
              <w:rPr>
                <w:rFonts w:ascii="Arial" w:hAnsi="Arial" w:cs="Arial"/>
                <w:lang w:val="es-ES"/>
              </w:rPr>
              <w:t>malware</w:t>
            </w:r>
            <w:proofErr w:type="gramEnd"/>
            <w:r w:rsidRPr="00241F51">
              <w:rPr>
                <w:rFonts w:ascii="Arial" w:hAnsi="Arial" w:cs="Arial"/>
                <w:lang w:val="es-ES"/>
              </w:rPr>
              <w:t xml:space="preserve"> y otras herramientas para infiltrar los dispositivos o plataformas en línea de los actores de la sociedad civil. Aunque existen leyes de protección de datos, estas son insuficientes, y la aplicación es inconsistente. Los mecanismos de reparación para los actores de la sociedad civil son débiles o difíciles de acceder. El gobierno utiliza con frecuencia cuentas de redes sociales o </w:t>
            </w:r>
            <w:proofErr w:type="spellStart"/>
            <w:r w:rsidRPr="00241F51">
              <w:rPr>
                <w:rFonts w:ascii="Arial" w:hAnsi="Arial" w:cs="Arial"/>
                <w:lang w:val="es-ES"/>
              </w:rPr>
              <w:t>bots</w:t>
            </w:r>
            <w:proofErr w:type="spellEnd"/>
            <w:r w:rsidRPr="00241F51">
              <w:rPr>
                <w:rFonts w:ascii="Arial" w:hAnsi="Arial" w:cs="Arial"/>
                <w:lang w:val="es-ES"/>
              </w:rPr>
              <w:t xml:space="preserve"> para difundir desinformación, acosar a los actores de la sociedad civil en línea o manipular conversaciones para desacreditarlos.</w:t>
            </w:r>
          </w:p>
        </w:tc>
      </w:tr>
      <w:tr w:rsidR="009A179F" w:rsidRPr="00710515" w14:paraId="1D54C09A" w14:textId="77777777" w:rsidTr="00F4471C">
        <w:tc>
          <w:tcPr>
            <w:tcW w:w="0" w:type="auto"/>
            <w:hideMark/>
          </w:tcPr>
          <w:p w14:paraId="7AE6C912" w14:textId="77777777" w:rsidR="009A179F" w:rsidRPr="00710515" w:rsidRDefault="009A179F" w:rsidP="00F4471C">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02BCBABE" w14:textId="10397224" w:rsidR="009A179F" w:rsidRPr="00710515" w:rsidRDefault="00241F51" w:rsidP="00F4471C">
            <w:pPr>
              <w:spacing w:after="120" w:line="276" w:lineRule="auto"/>
              <w:rPr>
                <w:rFonts w:ascii="Arial" w:hAnsi="Arial" w:cs="Arial"/>
                <w:lang w:val="es-ES"/>
              </w:rPr>
            </w:pPr>
            <w:r w:rsidRPr="00241F51">
              <w:rPr>
                <w:rFonts w:ascii="Arial" w:hAnsi="Arial" w:cs="Arial"/>
                <w:lang w:val="es-ES"/>
              </w:rPr>
              <w:t xml:space="preserve">Existen pruebas ocasionales de que el gobierno u otros actores (por ejemplo, empresas privadas, grupos no estatales) están vinculados a ciberataques, spyware, </w:t>
            </w:r>
            <w:proofErr w:type="gramStart"/>
            <w:r w:rsidRPr="00241F51">
              <w:rPr>
                <w:rFonts w:ascii="Arial" w:hAnsi="Arial" w:cs="Arial"/>
                <w:lang w:val="es-ES"/>
              </w:rPr>
              <w:t>malware</w:t>
            </w:r>
            <w:proofErr w:type="gramEnd"/>
            <w:r w:rsidRPr="00241F51">
              <w:rPr>
                <w:rFonts w:ascii="Arial" w:hAnsi="Arial" w:cs="Arial"/>
                <w:lang w:val="es-ES"/>
              </w:rPr>
              <w:t xml:space="preserve"> o herramientas de piratería dirigidas a los actores de la sociedad civil. Existen leyes de protección de datos que son algo efectivas, con algo de </w:t>
            </w:r>
            <w:r w:rsidRPr="00241F51">
              <w:rPr>
                <w:rFonts w:ascii="Arial" w:hAnsi="Arial" w:cs="Arial"/>
                <w:lang w:val="es-ES"/>
              </w:rPr>
              <w:lastRenderedPageBreak/>
              <w:t xml:space="preserve">aplicación, y los mecanismos de reparación son </w:t>
            </w:r>
            <w:proofErr w:type="gramStart"/>
            <w:r w:rsidRPr="00241F51">
              <w:rPr>
                <w:rFonts w:ascii="Arial" w:hAnsi="Arial" w:cs="Arial"/>
                <w:lang w:val="es-ES"/>
              </w:rPr>
              <w:t>accesibles</w:t>
            </w:r>
            <w:proofErr w:type="gramEnd"/>
            <w:r w:rsidRPr="00241F51">
              <w:rPr>
                <w:rFonts w:ascii="Arial" w:hAnsi="Arial" w:cs="Arial"/>
                <w:lang w:val="es-ES"/>
              </w:rPr>
              <w:t xml:space="preserve"> pero no universalmente efectivos. El gobierno utiliza esporádicamente cuentas de redes sociales o </w:t>
            </w:r>
            <w:proofErr w:type="spellStart"/>
            <w:r w:rsidRPr="00241F51">
              <w:rPr>
                <w:rFonts w:ascii="Arial" w:hAnsi="Arial" w:cs="Arial"/>
                <w:lang w:val="es-ES"/>
              </w:rPr>
              <w:t>bots</w:t>
            </w:r>
            <w:proofErr w:type="spellEnd"/>
            <w:r w:rsidRPr="00241F51">
              <w:rPr>
                <w:rFonts w:ascii="Arial" w:hAnsi="Arial" w:cs="Arial"/>
                <w:lang w:val="es-ES"/>
              </w:rPr>
              <w:t xml:space="preserve"> para difundir desinformación, acosar a los actores de la sociedad civil o influir en las conversaciones en línea sobre los actores de la sociedad civil y su trabajo.</w:t>
            </w:r>
          </w:p>
        </w:tc>
      </w:tr>
      <w:tr w:rsidR="009A179F" w:rsidRPr="00710515" w14:paraId="00F43214" w14:textId="77777777" w:rsidTr="00F4471C">
        <w:tc>
          <w:tcPr>
            <w:tcW w:w="0" w:type="auto"/>
            <w:hideMark/>
          </w:tcPr>
          <w:p w14:paraId="576D828D" w14:textId="77777777" w:rsidR="009A179F" w:rsidRPr="00710515" w:rsidRDefault="009A179F" w:rsidP="00F4471C">
            <w:pPr>
              <w:spacing w:after="120" w:line="276" w:lineRule="auto"/>
              <w:rPr>
                <w:rFonts w:ascii="Arial" w:hAnsi="Arial" w:cs="Arial"/>
                <w:lang w:val="es-ES"/>
              </w:rPr>
            </w:pPr>
            <w:r w:rsidRPr="00710515">
              <w:rPr>
                <w:rFonts w:ascii="Arial" w:hAnsi="Arial" w:cs="Arial"/>
                <w:b/>
                <w:bCs/>
                <w:lang w:val="es-ES"/>
              </w:rPr>
              <w:lastRenderedPageBreak/>
              <w:t>Habilitante (4)</w:t>
            </w:r>
          </w:p>
        </w:tc>
        <w:tc>
          <w:tcPr>
            <w:tcW w:w="0" w:type="auto"/>
          </w:tcPr>
          <w:p w14:paraId="1F364B51" w14:textId="1BB1F649" w:rsidR="009A179F" w:rsidRPr="00710515" w:rsidRDefault="00241F51" w:rsidP="00F4471C">
            <w:pPr>
              <w:spacing w:after="120" w:line="276" w:lineRule="auto"/>
              <w:rPr>
                <w:rFonts w:ascii="Arial" w:hAnsi="Arial" w:cs="Arial"/>
                <w:lang w:val="es-ES"/>
              </w:rPr>
            </w:pPr>
            <w:r w:rsidRPr="00241F51">
              <w:rPr>
                <w:rFonts w:ascii="Arial" w:hAnsi="Arial" w:cs="Arial"/>
                <w:lang w:val="es-ES"/>
              </w:rPr>
              <w:t>El gobierno</w:t>
            </w:r>
            <w:r w:rsidR="00C35D35">
              <w:rPr>
                <w:rFonts w:ascii="Arial" w:hAnsi="Arial" w:cs="Arial"/>
                <w:lang w:val="es-ES"/>
              </w:rPr>
              <w:t xml:space="preserve"> </w:t>
            </w:r>
            <w:r w:rsidR="00C35D35" w:rsidRPr="00241F51">
              <w:rPr>
                <w:rFonts w:ascii="Arial" w:hAnsi="Arial" w:cs="Arial"/>
                <w:lang w:val="es-ES"/>
              </w:rPr>
              <w:t xml:space="preserve">u otros actores (por ejemplo, empresas privadas, grupos no estatales) </w:t>
            </w:r>
            <w:r w:rsidRPr="00241F51">
              <w:rPr>
                <w:rFonts w:ascii="Arial" w:hAnsi="Arial" w:cs="Arial"/>
                <w:lang w:val="es-ES"/>
              </w:rPr>
              <w:t>generalmente respeta los derechos de los actores de la sociedad civil para operar en línea sin participar en ciberataques patrocinados por el estado ni violaciones de la privacidad. Existen leyes de protección de datos completas y aplicadas, y los mecanismos de reparación efectivos están disponibles para los actores de la sociedad civil. El gobierno puede utilizar ocasionalmente redes sociales para difundir desinformación o acosar a los actores de la sociedad civil, pero tales acciones son raras y no sistemáticas.</w:t>
            </w:r>
          </w:p>
        </w:tc>
      </w:tr>
      <w:tr w:rsidR="009A179F" w:rsidRPr="00710515" w14:paraId="4588F8DA" w14:textId="77777777" w:rsidTr="00F4471C">
        <w:tc>
          <w:tcPr>
            <w:tcW w:w="0" w:type="auto"/>
            <w:hideMark/>
          </w:tcPr>
          <w:p w14:paraId="3331DFF7" w14:textId="77777777" w:rsidR="009A179F" w:rsidRPr="00710515" w:rsidRDefault="009A179F" w:rsidP="00F4471C">
            <w:pPr>
              <w:spacing w:after="120" w:line="276" w:lineRule="auto"/>
              <w:rPr>
                <w:rFonts w:ascii="Arial" w:hAnsi="Arial" w:cs="Arial"/>
                <w:lang w:val="es-ES"/>
              </w:rPr>
            </w:pPr>
            <w:r w:rsidRPr="00710515">
              <w:rPr>
                <w:rFonts w:ascii="Arial" w:hAnsi="Arial" w:cs="Arial"/>
                <w:b/>
                <w:bCs/>
                <w:lang w:val="es-ES"/>
              </w:rPr>
              <w:t>Totalmente habilitante (5)</w:t>
            </w:r>
          </w:p>
        </w:tc>
        <w:tc>
          <w:tcPr>
            <w:tcW w:w="0" w:type="auto"/>
          </w:tcPr>
          <w:p w14:paraId="1B69D123" w14:textId="049A0D3B" w:rsidR="009A179F" w:rsidRPr="00710515" w:rsidRDefault="00241F51" w:rsidP="00F4471C">
            <w:pPr>
              <w:spacing w:after="120" w:line="276" w:lineRule="auto"/>
              <w:rPr>
                <w:rFonts w:ascii="Arial" w:hAnsi="Arial" w:cs="Arial"/>
                <w:lang w:val="es-ES"/>
              </w:rPr>
            </w:pPr>
            <w:r w:rsidRPr="00241F51">
              <w:rPr>
                <w:rFonts w:ascii="Arial" w:hAnsi="Arial" w:cs="Arial"/>
                <w:lang w:val="es-ES"/>
              </w:rPr>
              <w:t>El gobierno</w:t>
            </w:r>
            <w:r w:rsidR="00C35D35">
              <w:rPr>
                <w:rFonts w:ascii="Arial" w:hAnsi="Arial" w:cs="Arial"/>
                <w:lang w:val="es-ES"/>
              </w:rPr>
              <w:t xml:space="preserve"> </w:t>
            </w:r>
            <w:r w:rsidR="00C35D35" w:rsidRPr="00241F51">
              <w:rPr>
                <w:rFonts w:ascii="Arial" w:hAnsi="Arial" w:cs="Arial"/>
                <w:lang w:val="es-ES"/>
              </w:rPr>
              <w:t xml:space="preserve">u otros actores (por ejemplo, empresas privadas, grupos no estatales) </w:t>
            </w:r>
            <w:r w:rsidRPr="00241F51">
              <w:rPr>
                <w:rFonts w:ascii="Arial" w:hAnsi="Arial" w:cs="Arial"/>
                <w:lang w:val="es-ES"/>
              </w:rPr>
              <w:t xml:space="preserve">respeta plenamente los derechos de las organizaciones de la sociedad civil para operar libremente en línea, sin incurrir en violaciones de la privacidad por parte del estado en su contra, como ciberataques, spyware, </w:t>
            </w:r>
            <w:proofErr w:type="gramStart"/>
            <w:r w:rsidRPr="00241F51">
              <w:rPr>
                <w:rFonts w:ascii="Arial" w:hAnsi="Arial" w:cs="Arial"/>
                <w:lang w:val="es-ES"/>
              </w:rPr>
              <w:t>malware</w:t>
            </w:r>
            <w:proofErr w:type="gramEnd"/>
            <w:r w:rsidRPr="00241F51">
              <w:rPr>
                <w:rFonts w:ascii="Arial" w:hAnsi="Arial" w:cs="Arial"/>
                <w:lang w:val="es-ES"/>
              </w:rPr>
              <w:t xml:space="preserve"> o el uso de otras herramientas de piratería. Existen leyes de protección de datos completas y aplicadas. Los actores de la sociedad civil tienen acceso a mecanismos robustos para buscar reparación por ciberataques, y estos mecanismos son generalmente efectivos. El gobierno no utiliza redes sociales para difundir desinformación, intimidar a los actores de la sociedad civil ni manipular el discurso en línea.</w:t>
            </w:r>
          </w:p>
        </w:tc>
      </w:tr>
    </w:tbl>
    <w:p w14:paraId="728D9EB1" w14:textId="77777777" w:rsidR="009A179F" w:rsidRDefault="009A179F" w:rsidP="00EC3C5F">
      <w:pPr>
        <w:spacing w:after="120" w:line="276" w:lineRule="auto"/>
        <w:rPr>
          <w:rFonts w:ascii="Arial" w:hAnsi="Arial" w:cs="Arial"/>
        </w:rPr>
      </w:pPr>
    </w:p>
    <w:p w14:paraId="465DF9E0" w14:textId="77777777" w:rsidR="001D77CF" w:rsidRPr="001D77CF" w:rsidRDefault="001D77CF" w:rsidP="001D77CF">
      <w:pPr>
        <w:spacing w:after="120" w:line="276" w:lineRule="auto"/>
        <w:rPr>
          <w:rFonts w:ascii="Arial" w:hAnsi="Arial" w:cs="Arial"/>
          <w:b/>
          <w:bCs/>
          <w:lang w:val="es-UY"/>
        </w:rPr>
      </w:pPr>
      <w:r w:rsidRPr="001D77CF">
        <w:rPr>
          <w:rFonts w:ascii="Arial" w:hAnsi="Arial" w:cs="Arial"/>
          <w:b/>
          <w:bCs/>
          <w:lang w:val="es-UY"/>
        </w:rPr>
        <w:t>6.3 | Accesibilidad Digital</w:t>
      </w:r>
    </w:p>
    <w:p w14:paraId="1E47D521" w14:textId="77777777" w:rsidR="001D77CF" w:rsidRPr="001D77CF" w:rsidRDefault="001D77CF" w:rsidP="001D77CF">
      <w:pPr>
        <w:spacing w:after="120" w:line="276" w:lineRule="auto"/>
        <w:rPr>
          <w:rFonts w:ascii="Arial" w:hAnsi="Arial" w:cs="Arial"/>
          <w:lang w:val="es-UY"/>
        </w:rPr>
      </w:pPr>
      <w:r w:rsidRPr="001D77CF">
        <w:rPr>
          <w:rFonts w:ascii="Arial" w:hAnsi="Arial" w:cs="Arial"/>
          <w:lang w:val="es-UY"/>
        </w:rPr>
        <w:t>Preguntas:</w:t>
      </w:r>
    </w:p>
    <w:p w14:paraId="44C802CB" w14:textId="77777777" w:rsidR="001D77CF" w:rsidRPr="001D77CF" w:rsidRDefault="001D77CF" w:rsidP="001D77CF">
      <w:pPr>
        <w:pStyle w:val="ListParagraph"/>
        <w:numPr>
          <w:ilvl w:val="0"/>
          <w:numId w:val="41"/>
        </w:numPr>
        <w:spacing w:after="120" w:line="276" w:lineRule="auto"/>
        <w:rPr>
          <w:rFonts w:ascii="Arial" w:hAnsi="Arial" w:cs="Arial"/>
          <w:lang w:val="es-UY"/>
        </w:rPr>
      </w:pPr>
      <w:r w:rsidRPr="001D77CF">
        <w:rPr>
          <w:rFonts w:ascii="Arial" w:hAnsi="Arial" w:cs="Arial"/>
          <w:lang w:val="es-UY"/>
        </w:rPr>
        <w:t>¿Qué tan accesible es Internet? ¿Hasta qué punto los actores de la sociedad civil (CS) pueden acceder y compartir contenido en línea?</w:t>
      </w:r>
    </w:p>
    <w:p w14:paraId="481FFB3D" w14:textId="77777777" w:rsidR="001D77CF" w:rsidRPr="001D77CF" w:rsidRDefault="001D77CF" w:rsidP="001D77CF">
      <w:pPr>
        <w:pStyle w:val="ListParagraph"/>
        <w:numPr>
          <w:ilvl w:val="0"/>
          <w:numId w:val="41"/>
        </w:numPr>
        <w:spacing w:after="120" w:line="276" w:lineRule="auto"/>
        <w:rPr>
          <w:rFonts w:ascii="Arial" w:hAnsi="Arial" w:cs="Arial"/>
          <w:lang w:val="es-UY"/>
        </w:rPr>
      </w:pPr>
      <w:r w:rsidRPr="001D77CF">
        <w:rPr>
          <w:rFonts w:ascii="Arial" w:hAnsi="Arial" w:cs="Arial"/>
          <w:lang w:val="es-UY"/>
        </w:rPr>
        <w:t>¿Cuál es el nivel de habilidades básicas en TIC (alfabetización en información y datos) entre la población general y la fuerza laboral de las organizaciones de la sociedad civil (OSC)? Evalúe si la población y la fuerza laboral de las OSC poseen habilidades adecuadas para usar herramientas digitales de manera efectiva e interpretar la información en línea.</w:t>
      </w:r>
    </w:p>
    <w:p w14:paraId="2FD23DC5" w14:textId="77777777" w:rsidR="001D77CF" w:rsidRPr="001D77CF" w:rsidRDefault="001D77CF" w:rsidP="001D77CF">
      <w:pPr>
        <w:pStyle w:val="ListParagraph"/>
        <w:numPr>
          <w:ilvl w:val="0"/>
          <w:numId w:val="41"/>
        </w:numPr>
        <w:spacing w:after="120" w:line="276" w:lineRule="auto"/>
        <w:rPr>
          <w:rFonts w:ascii="Arial" w:hAnsi="Arial" w:cs="Arial"/>
          <w:lang w:val="es-UY"/>
        </w:rPr>
      </w:pPr>
      <w:r w:rsidRPr="001D77CF">
        <w:rPr>
          <w:rFonts w:ascii="Arial" w:hAnsi="Arial" w:cs="Arial"/>
          <w:lang w:val="es-UY"/>
        </w:rPr>
        <w:t>Considere el papel de la inteligencia artificial (IA) y otras tecnologías emergentes en la configuración de la accesibilidad digital y las habilidades necesarias para interactuar con estas herramientas. ¿Qué tan preparados están los actores de la sociedad civil y la población general para adaptarse a estas tecnologías?</w:t>
      </w:r>
    </w:p>
    <w:tbl>
      <w:tblPr>
        <w:tblStyle w:val="TableGrid"/>
        <w:tblW w:w="0" w:type="auto"/>
        <w:tblLook w:val="04A0" w:firstRow="1" w:lastRow="0" w:firstColumn="1" w:lastColumn="0" w:noHBand="0" w:noVBand="1"/>
      </w:tblPr>
      <w:tblGrid>
        <w:gridCol w:w="1822"/>
        <w:gridCol w:w="6672"/>
      </w:tblGrid>
      <w:tr w:rsidR="006A75BB" w:rsidRPr="00710515" w14:paraId="790DAD0E" w14:textId="77777777" w:rsidTr="00F4471C">
        <w:tc>
          <w:tcPr>
            <w:tcW w:w="0" w:type="auto"/>
            <w:hideMark/>
          </w:tcPr>
          <w:p w14:paraId="3C632477" w14:textId="77777777" w:rsidR="006A75BB" w:rsidRPr="00710515" w:rsidRDefault="006A75BB" w:rsidP="00F4471C">
            <w:pPr>
              <w:spacing w:after="120" w:line="276" w:lineRule="auto"/>
              <w:rPr>
                <w:rFonts w:ascii="Arial" w:hAnsi="Arial" w:cs="Arial"/>
                <w:b/>
                <w:bCs/>
                <w:lang w:val="es-ES"/>
              </w:rPr>
            </w:pPr>
            <w:r w:rsidRPr="00710515">
              <w:rPr>
                <w:rFonts w:ascii="Arial" w:hAnsi="Arial" w:cs="Arial"/>
                <w:b/>
                <w:bCs/>
                <w:lang w:val="es-ES"/>
              </w:rPr>
              <w:t>Puntuación</w:t>
            </w:r>
          </w:p>
        </w:tc>
        <w:tc>
          <w:tcPr>
            <w:tcW w:w="0" w:type="auto"/>
            <w:hideMark/>
          </w:tcPr>
          <w:p w14:paraId="427AB8BB" w14:textId="77777777" w:rsidR="006A75BB" w:rsidRPr="00710515" w:rsidRDefault="006A75BB" w:rsidP="00F4471C">
            <w:pPr>
              <w:spacing w:after="120" w:line="276" w:lineRule="auto"/>
              <w:rPr>
                <w:rFonts w:ascii="Arial" w:hAnsi="Arial" w:cs="Arial"/>
                <w:b/>
                <w:bCs/>
                <w:lang w:val="es-ES"/>
              </w:rPr>
            </w:pPr>
            <w:r w:rsidRPr="00710515">
              <w:rPr>
                <w:rFonts w:ascii="Arial" w:hAnsi="Arial" w:cs="Arial"/>
                <w:b/>
                <w:bCs/>
                <w:lang w:val="es-ES"/>
              </w:rPr>
              <w:t>Descripción</w:t>
            </w:r>
          </w:p>
        </w:tc>
      </w:tr>
      <w:tr w:rsidR="006A75BB" w:rsidRPr="00710515" w14:paraId="53989557" w14:textId="77777777" w:rsidTr="00F4471C">
        <w:tc>
          <w:tcPr>
            <w:tcW w:w="0" w:type="auto"/>
            <w:hideMark/>
          </w:tcPr>
          <w:p w14:paraId="1CB4EB19" w14:textId="77777777" w:rsidR="006A75BB" w:rsidRPr="00710515" w:rsidRDefault="006A75BB" w:rsidP="00F4471C">
            <w:pPr>
              <w:spacing w:after="120" w:line="276" w:lineRule="auto"/>
              <w:rPr>
                <w:rFonts w:ascii="Arial" w:hAnsi="Arial" w:cs="Arial"/>
                <w:lang w:val="es-ES"/>
              </w:rPr>
            </w:pPr>
            <w:r w:rsidRPr="00710515">
              <w:rPr>
                <w:rFonts w:ascii="Arial" w:hAnsi="Arial" w:cs="Arial"/>
                <w:b/>
                <w:bCs/>
                <w:lang w:val="es-ES"/>
              </w:rPr>
              <w:lastRenderedPageBreak/>
              <w:t xml:space="preserve">Totalmente </w:t>
            </w:r>
            <w:r w:rsidRPr="009B0F1D">
              <w:rPr>
                <w:rFonts w:ascii="Arial" w:hAnsi="Arial" w:cs="Arial"/>
                <w:b/>
                <w:bCs/>
                <w:lang w:val="es-ES"/>
              </w:rPr>
              <w:t>inhibidor</w:t>
            </w:r>
            <w:r w:rsidRPr="00710515">
              <w:rPr>
                <w:rFonts w:ascii="Arial" w:hAnsi="Arial" w:cs="Arial"/>
                <w:b/>
                <w:bCs/>
                <w:lang w:val="es-ES"/>
              </w:rPr>
              <w:t xml:space="preserve"> (1)</w:t>
            </w:r>
          </w:p>
        </w:tc>
        <w:tc>
          <w:tcPr>
            <w:tcW w:w="0" w:type="auto"/>
          </w:tcPr>
          <w:p w14:paraId="63ABDF0B" w14:textId="3E3FB079" w:rsidR="006A75BB" w:rsidRPr="00710515" w:rsidRDefault="006A75BB" w:rsidP="00F4471C">
            <w:pPr>
              <w:spacing w:after="120" w:line="276" w:lineRule="auto"/>
              <w:rPr>
                <w:rFonts w:ascii="Arial" w:hAnsi="Arial" w:cs="Arial"/>
                <w:lang w:val="es-ES"/>
              </w:rPr>
            </w:pPr>
            <w:r w:rsidRPr="006A75BB">
              <w:rPr>
                <w:rFonts w:ascii="Arial" w:hAnsi="Arial" w:cs="Arial"/>
                <w:lang w:val="es-ES"/>
              </w:rPr>
              <w:t>Una tasa de penetración de Internet significativamente baja obstaculiza la capacidad de las OSC para utilizar Internet de manera efectiva, particularmente en entornos donde el acceso está disponible ni para las OSC ni para sus públicos objetivo. Además, el bajo nivel de habilidades básicas en TIC en alfabetización en información y datos entre la población crea más desafíos. Las habilidades básicas en TIC en la población son gravemente deficientes, lo que provoca que las OSC tengan dificultades para contratar trabajadores capacitados. La población general enfrenta barreras significativas para acceder o interpretar el contenido de las OSC debido a la limitada alfabetización digital</w:t>
            </w:r>
            <w:r w:rsidR="008C5CB1">
              <w:rPr>
                <w:rFonts w:ascii="Arial" w:hAnsi="Arial" w:cs="Arial"/>
                <w:lang w:val="es-ES"/>
              </w:rPr>
              <w:t xml:space="preserve">, </w:t>
            </w:r>
            <w:r w:rsidR="008C5CB1" w:rsidRPr="008C5CB1">
              <w:rPr>
                <w:rFonts w:ascii="Arial" w:hAnsi="Arial" w:cs="Arial"/>
                <w:lang w:val="es-ES"/>
              </w:rPr>
              <w:t xml:space="preserve">lo que también </w:t>
            </w:r>
            <w:r w:rsidR="003F79C1">
              <w:rPr>
                <w:rFonts w:ascii="Arial" w:hAnsi="Arial" w:cs="Arial"/>
                <w:lang w:val="es-ES"/>
              </w:rPr>
              <w:t>impide</w:t>
            </w:r>
            <w:r w:rsidR="008C5CB1" w:rsidRPr="008C5CB1">
              <w:rPr>
                <w:rFonts w:ascii="Arial" w:hAnsi="Arial" w:cs="Arial"/>
                <w:lang w:val="es-ES"/>
              </w:rPr>
              <w:t xml:space="preserve"> (así como la de los actores de CS) para adaptarse a tecnologías emergentes, como la IA.</w:t>
            </w:r>
            <w:r w:rsidR="002D5373">
              <w:rPr>
                <w:rFonts w:ascii="Arial" w:hAnsi="Arial" w:cs="Arial"/>
                <w:lang w:val="es-ES"/>
              </w:rPr>
              <w:t xml:space="preserve"> </w:t>
            </w:r>
          </w:p>
        </w:tc>
      </w:tr>
      <w:tr w:rsidR="006A75BB" w:rsidRPr="00710515" w14:paraId="2B625BDD" w14:textId="77777777" w:rsidTr="00F4471C">
        <w:tc>
          <w:tcPr>
            <w:tcW w:w="0" w:type="auto"/>
            <w:hideMark/>
          </w:tcPr>
          <w:p w14:paraId="1FA61D79" w14:textId="77777777" w:rsidR="006A75BB" w:rsidRPr="00710515" w:rsidRDefault="006A75BB" w:rsidP="00F4471C">
            <w:pPr>
              <w:spacing w:after="120" w:line="276" w:lineRule="auto"/>
              <w:rPr>
                <w:rFonts w:ascii="Arial" w:hAnsi="Arial" w:cs="Arial"/>
                <w:lang w:val="es-ES"/>
              </w:rPr>
            </w:pPr>
            <w:r w:rsidRPr="009B0F1D">
              <w:rPr>
                <w:rFonts w:ascii="Arial" w:hAnsi="Arial" w:cs="Arial"/>
                <w:b/>
                <w:bCs/>
                <w:lang w:val="es-ES"/>
              </w:rPr>
              <w:t>Inhibidor</w:t>
            </w:r>
            <w:r w:rsidRPr="00710515">
              <w:rPr>
                <w:rFonts w:ascii="Arial" w:hAnsi="Arial" w:cs="Arial"/>
                <w:b/>
                <w:bCs/>
                <w:lang w:val="es-ES"/>
              </w:rPr>
              <w:t xml:space="preserve"> (2)</w:t>
            </w:r>
          </w:p>
        </w:tc>
        <w:tc>
          <w:tcPr>
            <w:tcW w:w="0" w:type="auto"/>
          </w:tcPr>
          <w:p w14:paraId="42C56FE4" w14:textId="07785FE6" w:rsidR="006A75BB" w:rsidRPr="00710515" w:rsidRDefault="006A75BB" w:rsidP="00F4471C">
            <w:pPr>
              <w:spacing w:after="120" w:line="276" w:lineRule="auto"/>
              <w:rPr>
                <w:rFonts w:ascii="Arial" w:hAnsi="Arial" w:cs="Arial"/>
                <w:lang w:val="es-ES"/>
              </w:rPr>
            </w:pPr>
            <w:r w:rsidRPr="006A75BB">
              <w:rPr>
                <w:rFonts w:ascii="Arial" w:hAnsi="Arial" w:cs="Arial"/>
                <w:lang w:val="es-ES"/>
              </w:rPr>
              <w:t>Una tasa de penetración de Internet baja obstaculiza la capacidad de las OSC para utilizar Internet de manera efectiva, particularmente en entornos donde el acceso está disponible ni para las OSC ni para sus públicos objetivo. Las habilidades básicas en TIC de la población son insuficientes, lo que crea desafíos para las OSC, que a menudo deben depender de una fuerza laboral con bajas habilidades digitales. El público objetivo también tiene dificultades regularmente para acceder o entender el contenido de las OSC debido a la baja alfabetización digital</w:t>
            </w:r>
            <w:r w:rsidR="003F79C1">
              <w:rPr>
                <w:rFonts w:ascii="Arial" w:hAnsi="Arial" w:cs="Arial"/>
                <w:lang w:val="es-ES"/>
              </w:rPr>
              <w:t>,</w:t>
            </w:r>
            <w:r w:rsidR="003F79C1" w:rsidRPr="008C5CB1">
              <w:rPr>
                <w:rFonts w:ascii="Arial" w:hAnsi="Arial" w:cs="Arial"/>
                <w:lang w:val="es-ES"/>
              </w:rPr>
              <w:t xml:space="preserve"> lo que también </w:t>
            </w:r>
            <w:r w:rsidR="003F79C1">
              <w:rPr>
                <w:rFonts w:ascii="Arial" w:hAnsi="Arial" w:cs="Arial"/>
                <w:lang w:val="es-ES"/>
              </w:rPr>
              <w:t>limita</w:t>
            </w:r>
            <w:r w:rsidR="003F79C1" w:rsidRPr="008C5CB1">
              <w:rPr>
                <w:rFonts w:ascii="Arial" w:hAnsi="Arial" w:cs="Arial"/>
                <w:lang w:val="es-ES"/>
              </w:rPr>
              <w:t xml:space="preserve"> su capacidad (así como la de los actores de CS) para adaptarse a tecnologías emergentes, como la IA.</w:t>
            </w:r>
          </w:p>
        </w:tc>
      </w:tr>
      <w:tr w:rsidR="006A75BB" w:rsidRPr="00710515" w14:paraId="02391560" w14:textId="77777777" w:rsidTr="00F4471C">
        <w:tc>
          <w:tcPr>
            <w:tcW w:w="0" w:type="auto"/>
            <w:hideMark/>
          </w:tcPr>
          <w:p w14:paraId="776B058C" w14:textId="77777777" w:rsidR="006A75BB" w:rsidRPr="00710515" w:rsidRDefault="006A75BB" w:rsidP="00F4471C">
            <w:pPr>
              <w:spacing w:after="120" w:line="276" w:lineRule="auto"/>
              <w:rPr>
                <w:rFonts w:ascii="Arial" w:hAnsi="Arial" w:cs="Arial"/>
                <w:lang w:val="es-ES"/>
              </w:rPr>
            </w:pPr>
            <w:r w:rsidRPr="00710515">
              <w:rPr>
                <w:rFonts w:ascii="Arial" w:hAnsi="Arial" w:cs="Arial"/>
                <w:b/>
                <w:bCs/>
                <w:lang w:val="es-ES"/>
              </w:rPr>
              <w:t>Parcialmente habilitante (3)</w:t>
            </w:r>
          </w:p>
        </w:tc>
        <w:tc>
          <w:tcPr>
            <w:tcW w:w="0" w:type="auto"/>
          </w:tcPr>
          <w:p w14:paraId="5FC0CB03" w14:textId="049F5A7B" w:rsidR="006A75BB" w:rsidRPr="00710515" w:rsidRDefault="00634EFF" w:rsidP="00F4471C">
            <w:pPr>
              <w:spacing w:after="120" w:line="276" w:lineRule="auto"/>
              <w:rPr>
                <w:rFonts w:ascii="Arial" w:hAnsi="Arial" w:cs="Arial"/>
                <w:lang w:val="es-ES"/>
              </w:rPr>
            </w:pPr>
            <w:r w:rsidRPr="00634EFF">
              <w:rPr>
                <w:rFonts w:ascii="Arial" w:hAnsi="Arial" w:cs="Arial"/>
                <w:lang w:val="es-ES"/>
              </w:rPr>
              <w:t>Una tasa moderada de penetración de Internet obstaculiza algo la capacidad de las OSC para utilizar Internet de manera efectiva, particularmente en entornos donde el acceso está disponible ni para las OSC ni para sus públicos objetivo. Las habilidades básicas en TIC de la población están en un nivel moderado, lo que significa que persisten algunos desafíos para las OSC, que pueden necesitar contratar trabajadores con habilidades digitales intermedias. El público objetivo enfrenta ocasionalmente dificultades para acceder o interpretar el contenido de las OSC debido a la alfabetización digital limitada</w:t>
            </w:r>
            <w:r w:rsidR="003F79C1">
              <w:rPr>
                <w:rFonts w:ascii="Arial" w:hAnsi="Arial" w:cs="Arial"/>
                <w:lang w:val="es-ES"/>
              </w:rPr>
              <w:t xml:space="preserve">, </w:t>
            </w:r>
            <w:r w:rsidR="003F79C1" w:rsidRPr="008C5CB1">
              <w:rPr>
                <w:rFonts w:ascii="Arial" w:hAnsi="Arial" w:cs="Arial"/>
                <w:lang w:val="es-ES"/>
              </w:rPr>
              <w:t>lo que también obstaculiza su capacidad (así como la de los actores de CS) para adaptarse a tecnologías emergentes, como la IA.</w:t>
            </w:r>
          </w:p>
        </w:tc>
      </w:tr>
      <w:tr w:rsidR="006A75BB" w:rsidRPr="00710515" w14:paraId="0F55F7CE" w14:textId="77777777" w:rsidTr="00F4471C">
        <w:tc>
          <w:tcPr>
            <w:tcW w:w="0" w:type="auto"/>
            <w:hideMark/>
          </w:tcPr>
          <w:p w14:paraId="62F5AAD6" w14:textId="77777777" w:rsidR="006A75BB" w:rsidRPr="00710515" w:rsidRDefault="006A75BB" w:rsidP="00F4471C">
            <w:pPr>
              <w:spacing w:after="120" w:line="276" w:lineRule="auto"/>
              <w:rPr>
                <w:rFonts w:ascii="Arial" w:hAnsi="Arial" w:cs="Arial"/>
                <w:lang w:val="es-ES"/>
              </w:rPr>
            </w:pPr>
            <w:r w:rsidRPr="00710515">
              <w:rPr>
                <w:rFonts w:ascii="Arial" w:hAnsi="Arial" w:cs="Arial"/>
                <w:b/>
                <w:bCs/>
                <w:lang w:val="es-ES"/>
              </w:rPr>
              <w:t>Habilitante (4)</w:t>
            </w:r>
          </w:p>
        </w:tc>
        <w:tc>
          <w:tcPr>
            <w:tcW w:w="0" w:type="auto"/>
          </w:tcPr>
          <w:p w14:paraId="05A7BEF9" w14:textId="62D1FC61" w:rsidR="006A75BB" w:rsidRPr="00710515" w:rsidRDefault="00634EFF" w:rsidP="00F4471C">
            <w:pPr>
              <w:spacing w:after="120" w:line="276" w:lineRule="auto"/>
              <w:rPr>
                <w:rFonts w:ascii="Arial" w:hAnsi="Arial" w:cs="Arial"/>
                <w:lang w:val="es-ES"/>
              </w:rPr>
            </w:pPr>
            <w:r w:rsidRPr="00634EFF">
              <w:rPr>
                <w:rFonts w:ascii="Arial" w:hAnsi="Arial" w:cs="Arial"/>
                <w:lang w:val="es-ES"/>
              </w:rPr>
              <w:t>Una alta tasa de penetración de Internet permite a las OSC utilizar Internet de manera efectiva. Además, un creciente nivel de habilidades básicas en TIC en alfabetización en información y datos entre la población reduce los desafíos. Esto hace que las OSC tengan que contratar de un grupo de mano de obra capacitada en TIC, y sus públicos objetivo generalmente no experimentan barreras significativas para acceder o entender el trabajo de las OSC.</w:t>
            </w:r>
            <w:r w:rsidR="00DE1B16" w:rsidRPr="00634EFF">
              <w:rPr>
                <w:rFonts w:ascii="Arial" w:hAnsi="Arial" w:cs="Arial"/>
                <w:lang w:val="es-ES"/>
              </w:rPr>
              <w:t xml:space="preserve"> La población también está </w:t>
            </w:r>
            <w:r w:rsidR="00DE1B16">
              <w:rPr>
                <w:rFonts w:ascii="Arial" w:hAnsi="Arial" w:cs="Arial"/>
                <w:lang w:val="es-ES"/>
              </w:rPr>
              <w:t>gener</w:t>
            </w:r>
            <w:r w:rsidR="0098494B">
              <w:rPr>
                <w:rFonts w:ascii="Arial" w:hAnsi="Arial" w:cs="Arial"/>
                <w:lang w:val="es-ES"/>
              </w:rPr>
              <w:t>almente</w:t>
            </w:r>
            <w:r w:rsidR="00DE1B16" w:rsidRPr="00634EFF">
              <w:rPr>
                <w:rFonts w:ascii="Arial" w:hAnsi="Arial" w:cs="Arial"/>
                <w:lang w:val="es-ES"/>
              </w:rPr>
              <w:t xml:space="preserve"> preparada para interactuar con tecnologías emergentes, como la IA.</w:t>
            </w:r>
          </w:p>
        </w:tc>
      </w:tr>
      <w:tr w:rsidR="006A75BB" w:rsidRPr="00710515" w14:paraId="20775447" w14:textId="77777777" w:rsidTr="00F4471C">
        <w:tc>
          <w:tcPr>
            <w:tcW w:w="0" w:type="auto"/>
            <w:hideMark/>
          </w:tcPr>
          <w:p w14:paraId="701046CA" w14:textId="77777777" w:rsidR="006A75BB" w:rsidRPr="00710515" w:rsidRDefault="006A75BB" w:rsidP="00F4471C">
            <w:pPr>
              <w:spacing w:after="120" w:line="276" w:lineRule="auto"/>
              <w:rPr>
                <w:rFonts w:ascii="Arial" w:hAnsi="Arial" w:cs="Arial"/>
                <w:lang w:val="es-ES"/>
              </w:rPr>
            </w:pPr>
            <w:r w:rsidRPr="00710515">
              <w:rPr>
                <w:rFonts w:ascii="Arial" w:hAnsi="Arial" w:cs="Arial"/>
                <w:b/>
                <w:bCs/>
                <w:lang w:val="es-ES"/>
              </w:rPr>
              <w:lastRenderedPageBreak/>
              <w:t>Totalmente habilitante (5)</w:t>
            </w:r>
          </w:p>
        </w:tc>
        <w:tc>
          <w:tcPr>
            <w:tcW w:w="0" w:type="auto"/>
          </w:tcPr>
          <w:p w14:paraId="3B78B2FC" w14:textId="0B187FDF" w:rsidR="006A75BB" w:rsidRPr="00710515" w:rsidRDefault="00634EFF" w:rsidP="00F4471C">
            <w:pPr>
              <w:spacing w:after="120" w:line="276" w:lineRule="auto"/>
              <w:rPr>
                <w:rFonts w:ascii="Arial" w:hAnsi="Arial" w:cs="Arial"/>
                <w:lang w:val="es-ES"/>
              </w:rPr>
            </w:pPr>
            <w:r w:rsidRPr="00634EFF">
              <w:rPr>
                <w:rFonts w:ascii="Arial" w:hAnsi="Arial" w:cs="Arial"/>
                <w:lang w:val="es-ES"/>
              </w:rPr>
              <w:t>Una tasa de penetración de Internet significativamente alta permite a las OSC utilizar Internet de manera efectiva. Un alto nivel de alfabetización digital existe en toda la población, eliminando la mayoría de los desafíos. Las OSC pueden reclutar fácilmente profesionales capacitados en TIC, y sus públicos objetivo pueden acceder e interpretar sin esfuerzo el contenido producido por las OSC. La población también está bien preparada para interactuar con tecnologías emergentes, como la IA.</w:t>
            </w:r>
          </w:p>
        </w:tc>
      </w:tr>
    </w:tbl>
    <w:p w14:paraId="6D2018BC" w14:textId="77777777" w:rsidR="001D77CF" w:rsidRDefault="001D77CF" w:rsidP="00EC3C5F">
      <w:pPr>
        <w:spacing w:after="120" w:line="276" w:lineRule="auto"/>
        <w:rPr>
          <w:rFonts w:ascii="Arial" w:hAnsi="Arial" w:cs="Arial"/>
        </w:rPr>
      </w:pPr>
    </w:p>
    <w:p w14:paraId="283EB99E" w14:textId="5EFF3D1C" w:rsidR="00370B71" w:rsidRPr="00370B71" w:rsidRDefault="00370B71" w:rsidP="00370B71">
      <w:pPr>
        <w:pStyle w:val="Heading3"/>
        <w:spacing w:before="0" w:after="120" w:line="276" w:lineRule="auto"/>
      </w:pPr>
      <w:bookmarkStart w:id="9" w:name="_Toc193301987"/>
      <w:proofErr w:type="gramStart"/>
      <w:r>
        <w:t xml:space="preserve">Fuentes </w:t>
      </w:r>
      <w:r w:rsidR="001C40A2">
        <w:t>a</w:t>
      </w:r>
      <w:r>
        <w:t xml:space="preserve"> consultar</w:t>
      </w:r>
      <w:bookmarkEnd w:id="9"/>
      <w:proofErr w:type="gramEnd"/>
    </w:p>
    <w:p w14:paraId="38DAD07F" w14:textId="77777777" w:rsidR="00370B71" w:rsidRDefault="00370B71" w:rsidP="00370B71">
      <w:pPr>
        <w:spacing w:after="120" w:line="276" w:lineRule="auto"/>
        <w:rPr>
          <w:rFonts w:ascii="Arial" w:hAnsi="Arial" w:cs="Arial"/>
          <w:lang w:val="es-UY"/>
        </w:rPr>
      </w:pPr>
      <w:r w:rsidRPr="00370B71">
        <w:rPr>
          <w:rFonts w:ascii="Arial" w:hAnsi="Arial" w:cs="Arial"/>
          <w:lang w:val="es-UY"/>
        </w:rPr>
        <w:t>A continuación, se presentan algunas fuentes sugeridas para revisar antes del panel como parte de la preparación de la investigación.</w:t>
      </w:r>
    </w:p>
    <w:p w14:paraId="54AC4ADE" w14:textId="77777777" w:rsidR="001C40A2" w:rsidRDefault="001C40A2" w:rsidP="00370B71">
      <w:pPr>
        <w:spacing w:after="120" w:line="276" w:lineRule="auto"/>
        <w:rPr>
          <w:rFonts w:ascii="Arial" w:hAnsi="Arial" w:cs="Arial"/>
          <w:lang w:val="es-UY"/>
        </w:rPr>
      </w:pPr>
    </w:p>
    <w:p w14:paraId="2EF01E6D" w14:textId="6400FAD2" w:rsidR="001C40A2" w:rsidRPr="0043352F" w:rsidRDefault="001C40A2" w:rsidP="001C40A2">
      <w:pPr>
        <w:rPr>
          <w:rFonts w:ascii="Arial" w:hAnsi="Arial" w:cs="Arial"/>
          <w:b/>
          <w:bCs/>
          <w:sz w:val="24"/>
          <w:szCs w:val="24"/>
        </w:rPr>
      </w:pPr>
      <w:r w:rsidRPr="0043352F">
        <w:rPr>
          <w:rFonts w:ascii="Arial" w:hAnsi="Arial" w:cs="Arial"/>
          <w:b/>
          <w:bCs/>
          <w:sz w:val="24"/>
          <w:szCs w:val="24"/>
        </w:rPr>
        <w:t>Princi</w:t>
      </w:r>
      <w:r>
        <w:rPr>
          <w:rFonts w:ascii="Arial" w:hAnsi="Arial" w:cs="Arial"/>
          <w:b/>
          <w:bCs/>
          <w:sz w:val="24"/>
          <w:szCs w:val="24"/>
        </w:rPr>
        <w:t>pio</w:t>
      </w:r>
      <w:r w:rsidRPr="0043352F">
        <w:rPr>
          <w:rFonts w:ascii="Arial" w:hAnsi="Arial" w:cs="Arial"/>
          <w:b/>
          <w:bCs/>
          <w:sz w:val="24"/>
          <w:szCs w:val="24"/>
        </w:rPr>
        <w:t xml:space="preserve"> 4</w:t>
      </w:r>
    </w:p>
    <w:p w14:paraId="4CCC0195" w14:textId="5F485A20" w:rsidR="001C40A2" w:rsidRPr="0043352F" w:rsidRDefault="001C40A2" w:rsidP="001C40A2">
      <w:pPr>
        <w:rPr>
          <w:rFonts w:ascii="Arial" w:hAnsi="Arial" w:cs="Arial"/>
          <w:b/>
          <w:bCs/>
          <w:sz w:val="24"/>
          <w:szCs w:val="24"/>
        </w:rPr>
      </w:pPr>
      <w:r w:rsidRPr="0043352F">
        <w:rPr>
          <w:rFonts w:ascii="Arial" w:hAnsi="Arial" w:cs="Arial"/>
          <w:sz w:val="24"/>
          <w:szCs w:val="24"/>
        </w:rPr>
        <w:t>4.1</w:t>
      </w:r>
      <w:r w:rsidRPr="0043352F">
        <w:rPr>
          <w:rFonts w:ascii="Arial" w:hAnsi="Arial" w:cs="Arial"/>
          <w:b/>
          <w:bCs/>
          <w:sz w:val="24"/>
          <w:szCs w:val="24"/>
        </w:rPr>
        <w:t xml:space="preserve"> </w:t>
      </w:r>
      <w:proofErr w:type="spellStart"/>
      <w:r>
        <w:rPr>
          <w:rFonts w:ascii="Arial" w:hAnsi="Arial" w:cs="Arial"/>
          <w:sz w:val="24"/>
          <w:szCs w:val="24"/>
          <w:lang w:val="en-GB"/>
        </w:rPr>
        <w:t>Transparencia</w:t>
      </w:r>
      <w:proofErr w:type="spellEnd"/>
    </w:p>
    <w:p w14:paraId="49657DA1" w14:textId="109B388E" w:rsidR="001C40A2" w:rsidRPr="0043352F" w:rsidRDefault="001C40A2" w:rsidP="001C40A2">
      <w:pPr>
        <w:pStyle w:val="ListParagraph"/>
        <w:numPr>
          <w:ilvl w:val="0"/>
          <w:numId w:val="46"/>
        </w:numPr>
        <w:rPr>
          <w:rFonts w:ascii="Arial" w:hAnsi="Arial" w:cs="Arial"/>
          <w:sz w:val="24"/>
          <w:szCs w:val="24"/>
          <w:lang w:val="en-GB"/>
        </w:rPr>
      </w:pPr>
      <w:r w:rsidRPr="001C40A2">
        <w:rPr>
          <w:rFonts w:ascii="Arial" w:hAnsi="Arial" w:cs="Arial"/>
          <w:sz w:val="24"/>
          <w:szCs w:val="24"/>
          <w:lang w:val="en-GB"/>
        </w:rPr>
        <w:t xml:space="preserve">Global Right to Information Rating. </w:t>
      </w:r>
      <w:r>
        <w:rPr>
          <w:rFonts w:ascii="Arial" w:hAnsi="Arial" w:cs="Arial"/>
          <w:sz w:val="24"/>
          <w:szCs w:val="24"/>
          <w:lang w:val="en-GB"/>
        </w:rPr>
        <w:t>Fuente</w:t>
      </w:r>
      <w:r w:rsidRPr="001C40A2">
        <w:rPr>
          <w:rFonts w:ascii="Arial" w:hAnsi="Arial" w:cs="Arial"/>
          <w:sz w:val="24"/>
          <w:szCs w:val="24"/>
          <w:lang w:val="en-GB"/>
        </w:rPr>
        <w:t xml:space="preserve">: Centre for Law Add and Democracy </w:t>
      </w:r>
      <w:r w:rsidRPr="0043352F">
        <w:rPr>
          <w:rFonts w:ascii="Arial" w:hAnsi="Arial" w:cs="Arial"/>
          <w:sz w:val="24"/>
          <w:szCs w:val="24"/>
          <w:lang w:val="en-GB"/>
        </w:rPr>
        <w:t> </w:t>
      </w:r>
    </w:p>
    <w:p w14:paraId="559174C9" w14:textId="01ACB096" w:rsidR="001C40A2" w:rsidRPr="0043352F" w:rsidRDefault="001C40A2" w:rsidP="001C40A2">
      <w:pPr>
        <w:rPr>
          <w:rFonts w:ascii="Arial" w:hAnsi="Arial" w:cs="Arial"/>
          <w:sz w:val="24"/>
          <w:szCs w:val="24"/>
          <w:lang w:val="en-GB"/>
        </w:rPr>
      </w:pPr>
      <w:r w:rsidRPr="00596A57">
        <w:rPr>
          <w:rFonts w:ascii="Arial" w:hAnsi="Arial" w:cs="Arial"/>
          <w:sz w:val="24"/>
          <w:szCs w:val="24"/>
          <w:lang w:val="en-US"/>
        </w:rPr>
        <w:t>​</w:t>
      </w:r>
      <w:r w:rsidRPr="0043352F">
        <w:rPr>
          <w:rFonts w:ascii="Arial" w:hAnsi="Arial" w:cs="Arial"/>
          <w:sz w:val="24"/>
          <w:szCs w:val="24"/>
          <w:lang w:val="en-GB"/>
        </w:rPr>
        <w:t xml:space="preserve">4.2 </w:t>
      </w:r>
      <w:proofErr w:type="spellStart"/>
      <w:r w:rsidRPr="0043352F">
        <w:rPr>
          <w:rFonts w:ascii="Arial" w:hAnsi="Arial" w:cs="Arial"/>
          <w:sz w:val="24"/>
          <w:szCs w:val="24"/>
          <w:lang w:val="en-GB"/>
        </w:rPr>
        <w:t>Participa</w:t>
      </w:r>
      <w:r>
        <w:rPr>
          <w:rFonts w:ascii="Arial" w:hAnsi="Arial" w:cs="Arial"/>
          <w:sz w:val="24"/>
          <w:szCs w:val="24"/>
          <w:lang w:val="en-GB"/>
        </w:rPr>
        <w:t>ción</w:t>
      </w:r>
      <w:proofErr w:type="spellEnd"/>
    </w:p>
    <w:p w14:paraId="483A210E" w14:textId="042D534F" w:rsidR="001C40A2" w:rsidRPr="0043352F" w:rsidRDefault="001C40A2" w:rsidP="001C40A2">
      <w:pPr>
        <w:pStyle w:val="paragraph"/>
        <w:numPr>
          <w:ilvl w:val="0"/>
          <w:numId w:val="42"/>
        </w:numPr>
        <w:spacing w:beforeAutospacing="0" w:after="0" w:afterAutospacing="0"/>
        <w:textAlignment w:val="baseline"/>
        <w:rPr>
          <w:rFonts w:ascii="Arial" w:hAnsi="Arial" w:cs="Arial"/>
          <w:lang w:val="en-GB"/>
        </w:rPr>
      </w:pPr>
      <w:r w:rsidRPr="0043352F">
        <w:rPr>
          <w:rStyle w:val="contentcontrolboundarysink"/>
          <w:rFonts w:ascii="Arial" w:eastAsiaTheme="majorEastAsia" w:hAnsi="Arial" w:cs="Arial"/>
        </w:rPr>
        <w:t>​</w:t>
      </w:r>
      <w:r w:rsidRPr="0043352F">
        <w:rPr>
          <w:rStyle w:val="normaltextrun"/>
          <w:rFonts w:ascii="Arial" w:eastAsiaTheme="majorEastAsia" w:hAnsi="Arial" w:cs="Arial"/>
        </w:rPr>
        <w:t xml:space="preserve">Are major civil society organizations (CSOs) routinely consulted by policymakers on policies relevant to their members? </w:t>
      </w:r>
      <w:r>
        <w:rPr>
          <w:rFonts w:ascii="Arial" w:hAnsi="Arial" w:cs="Arial"/>
          <w:lang w:val="en-GB"/>
        </w:rPr>
        <w:t>Fuente</w:t>
      </w:r>
      <w:r w:rsidRPr="0043352F">
        <w:rPr>
          <w:rStyle w:val="normaltextrun"/>
          <w:rFonts w:ascii="Arial" w:eastAsiaTheme="majorEastAsia" w:hAnsi="Arial" w:cs="Arial"/>
        </w:rPr>
        <w:t>: V-DEM CSO consultation</w:t>
      </w:r>
      <w:r w:rsidRPr="0043352F">
        <w:rPr>
          <w:rStyle w:val="eop"/>
          <w:rFonts w:ascii="Arial" w:eastAsiaTheme="majorEastAsia" w:hAnsi="Arial" w:cs="Arial"/>
          <w:lang w:val="en-GB"/>
        </w:rPr>
        <w:t> </w:t>
      </w:r>
    </w:p>
    <w:p w14:paraId="7912EE59" w14:textId="44762494" w:rsidR="001C40A2" w:rsidRPr="0043352F" w:rsidRDefault="001C40A2" w:rsidP="001C40A2">
      <w:pPr>
        <w:pStyle w:val="paragraph"/>
        <w:numPr>
          <w:ilvl w:val="0"/>
          <w:numId w:val="42"/>
        </w:numPr>
        <w:spacing w:beforeAutospacing="0" w:after="0" w:afterAutospacing="0"/>
        <w:textAlignment w:val="baseline"/>
        <w:rPr>
          <w:rStyle w:val="eop"/>
          <w:rFonts w:ascii="Arial" w:hAnsi="Arial" w:cs="Arial"/>
          <w:lang w:val="en-GB"/>
        </w:rPr>
      </w:pPr>
      <w:r w:rsidRPr="0043352F">
        <w:rPr>
          <w:rStyle w:val="contentcontrolboundarysink"/>
          <w:rFonts w:ascii="Arial" w:eastAsiaTheme="majorEastAsia" w:hAnsi="Arial" w:cs="Arial"/>
          <w:lang w:val="en"/>
        </w:rPr>
        <w:t>​</w:t>
      </w:r>
      <w:r w:rsidRPr="0043352F">
        <w:rPr>
          <w:rStyle w:val="normaltextrun"/>
          <w:rFonts w:ascii="Arial" w:eastAsiaTheme="majorEastAsia" w:hAnsi="Arial" w:cs="Arial"/>
          <w:lang w:val="en"/>
        </w:rPr>
        <w:t xml:space="preserve">To what extent does the political leadership consult civil society actors in their plurality in policymaking? </w:t>
      </w:r>
      <w:r>
        <w:rPr>
          <w:rFonts w:ascii="Arial" w:hAnsi="Arial" w:cs="Arial"/>
          <w:lang w:val="en-GB"/>
        </w:rPr>
        <w:t>Fuente</w:t>
      </w:r>
      <w:r w:rsidRPr="0043352F">
        <w:rPr>
          <w:rStyle w:val="normaltextrun"/>
          <w:rFonts w:ascii="Arial" w:eastAsiaTheme="majorEastAsia" w:hAnsi="Arial" w:cs="Arial"/>
          <w:lang w:val="en"/>
        </w:rPr>
        <w:t>: Bertelsmann Stiftung’s Governance Index (indicator of Civil Society Participation under the Consensus Building Criteria)</w:t>
      </w:r>
      <w:r w:rsidRPr="0043352F">
        <w:rPr>
          <w:rStyle w:val="contentcontrolboundarysink"/>
          <w:rFonts w:ascii="Arial" w:eastAsiaTheme="majorEastAsia" w:hAnsi="Arial" w:cs="Arial"/>
          <w:lang w:val="en"/>
        </w:rPr>
        <w:t>​</w:t>
      </w:r>
      <w:r w:rsidRPr="0043352F">
        <w:rPr>
          <w:rStyle w:val="eop"/>
          <w:rFonts w:ascii="Arial" w:eastAsiaTheme="majorEastAsia" w:hAnsi="Arial" w:cs="Arial"/>
          <w:lang w:val="en-GB"/>
        </w:rPr>
        <w:t> </w:t>
      </w:r>
    </w:p>
    <w:p w14:paraId="664ECB7C" w14:textId="77777777" w:rsidR="001C40A2" w:rsidRPr="00596A57" w:rsidRDefault="001C40A2" w:rsidP="001C40A2">
      <w:pPr>
        <w:pStyle w:val="paragraph"/>
        <w:spacing w:beforeAutospacing="0" w:after="0" w:afterAutospacing="0"/>
        <w:textAlignment w:val="baseline"/>
        <w:rPr>
          <w:rStyle w:val="eop"/>
          <w:rFonts w:ascii="Arial" w:eastAsiaTheme="majorEastAsia" w:hAnsi="Arial" w:cs="Arial"/>
          <w:lang w:val="en-GB"/>
        </w:rPr>
      </w:pPr>
    </w:p>
    <w:p w14:paraId="77E13753" w14:textId="045BE0EE" w:rsidR="001C40A2" w:rsidRPr="004753C3" w:rsidRDefault="001C40A2" w:rsidP="001C40A2">
      <w:pPr>
        <w:rPr>
          <w:rStyle w:val="eop"/>
          <w:lang w:val="es-UY"/>
        </w:rPr>
      </w:pPr>
      <w:r w:rsidRPr="004753C3">
        <w:rPr>
          <w:rFonts w:ascii="Arial" w:hAnsi="Arial" w:cs="Arial"/>
          <w:b/>
          <w:bCs/>
          <w:sz w:val="24"/>
          <w:szCs w:val="24"/>
          <w:lang w:val="es-UY"/>
        </w:rPr>
        <w:t>Princi</w:t>
      </w:r>
      <w:r w:rsidR="006A005F" w:rsidRPr="004753C3">
        <w:rPr>
          <w:rFonts w:ascii="Arial" w:hAnsi="Arial" w:cs="Arial"/>
          <w:b/>
          <w:bCs/>
          <w:sz w:val="24"/>
          <w:szCs w:val="24"/>
          <w:lang w:val="es-UY"/>
        </w:rPr>
        <w:t>pio</w:t>
      </w:r>
      <w:r w:rsidRPr="004753C3">
        <w:rPr>
          <w:rFonts w:ascii="Arial" w:hAnsi="Arial" w:cs="Arial"/>
          <w:b/>
          <w:bCs/>
          <w:sz w:val="24"/>
          <w:szCs w:val="24"/>
          <w:lang w:val="es-UY"/>
        </w:rPr>
        <w:t xml:space="preserve"> 5</w:t>
      </w:r>
    </w:p>
    <w:p w14:paraId="16145ED8" w14:textId="2562182B" w:rsidR="001C40A2" w:rsidRPr="004753C3" w:rsidRDefault="001C40A2" w:rsidP="001C40A2">
      <w:pPr>
        <w:pStyle w:val="paragraph"/>
        <w:spacing w:beforeAutospacing="0" w:after="0" w:afterAutospacing="0"/>
        <w:textAlignment w:val="baseline"/>
        <w:rPr>
          <w:rFonts w:ascii="Arial" w:hAnsi="Arial" w:cs="Arial"/>
          <w:lang w:val="es-UY"/>
        </w:rPr>
      </w:pPr>
      <w:r w:rsidRPr="004753C3">
        <w:rPr>
          <w:rFonts w:ascii="Arial" w:hAnsi="Arial" w:cs="Arial"/>
          <w:lang w:val="es-UY"/>
        </w:rPr>
        <w:t xml:space="preserve">5.2 | </w:t>
      </w:r>
      <w:r w:rsidR="004753C3" w:rsidRPr="004753C3">
        <w:rPr>
          <w:rFonts w:ascii="Arial" w:hAnsi="Arial" w:cs="Arial"/>
          <w:lang w:val="es-UY"/>
        </w:rPr>
        <w:t>Percepción de la Sociedad Civil y la Participación Cívica</w:t>
      </w:r>
      <w:r w:rsidRPr="004753C3">
        <w:rPr>
          <w:rFonts w:ascii="Arial" w:hAnsi="Arial" w:cs="Arial"/>
          <w:lang w:val="es-UY"/>
        </w:rPr>
        <w:br/>
      </w:r>
    </w:p>
    <w:p w14:paraId="26874954" w14:textId="379230B3" w:rsidR="001C40A2" w:rsidRPr="0043352F" w:rsidRDefault="001C40A2" w:rsidP="001C40A2">
      <w:pPr>
        <w:pStyle w:val="paragraph"/>
        <w:numPr>
          <w:ilvl w:val="0"/>
          <w:numId w:val="42"/>
        </w:numPr>
        <w:spacing w:beforeAutospacing="0" w:after="0" w:afterAutospacing="0"/>
        <w:textAlignment w:val="baseline"/>
        <w:rPr>
          <w:rStyle w:val="normaltextrun"/>
          <w:rFonts w:ascii="Arial" w:eastAsiaTheme="majorEastAsia" w:hAnsi="Arial" w:cs="Arial"/>
        </w:rPr>
      </w:pPr>
      <w:r w:rsidRPr="00596A57">
        <w:rPr>
          <w:rFonts w:ascii="Arial" w:eastAsiaTheme="majorEastAsia" w:hAnsi="Arial" w:cs="Arial"/>
          <w:lang w:val="en"/>
        </w:rPr>
        <w:t>​​</w:t>
      </w:r>
      <w:r w:rsidRPr="0043352F">
        <w:rPr>
          <w:rStyle w:val="normaltextrun"/>
          <w:rFonts w:ascii="Arial" w:eastAsiaTheme="majorEastAsia" w:hAnsi="Arial" w:cs="Arial"/>
        </w:rPr>
        <w:t>CSO participatory environment</w:t>
      </w:r>
      <w:r>
        <w:rPr>
          <w:rStyle w:val="normaltextrun"/>
          <w:rFonts w:ascii="Arial" w:eastAsiaTheme="majorEastAsia" w:hAnsi="Arial" w:cs="Arial"/>
        </w:rPr>
        <w:t xml:space="preserve">. </w:t>
      </w:r>
      <w:r w:rsidR="006A005F">
        <w:rPr>
          <w:rFonts w:ascii="Arial" w:hAnsi="Arial" w:cs="Arial"/>
          <w:lang w:val="en-GB"/>
        </w:rPr>
        <w:t>Fuente</w:t>
      </w:r>
      <w:r>
        <w:rPr>
          <w:rStyle w:val="normaltextrun"/>
          <w:rFonts w:ascii="Arial" w:eastAsiaTheme="majorEastAsia" w:hAnsi="Arial" w:cs="Arial"/>
        </w:rPr>
        <w:t xml:space="preserve">: </w:t>
      </w:r>
      <w:r w:rsidRPr="0043352F">
        <w:rPr>
          <w:rStyle w:val="normaltextrun"/>
          <w:rFonts w:ascii="Arial" w:eastAsiaTheme="majorEastAsia" w:hAnsi="Arial" w:cs="Arial"/>
        </w:rPr>
        <w:t>V-Dem Institute</w:t>
      </w:r>
      <w:r>
        <w:rPr>
          <w:rStyle w:val="normaltextrun"/>
          <w:rFonts w:ascii="Arial" w:eastAsiaTheme="majorEastAsia" w:hAnsi="Arial" w:cs="Arial"/>
        </w:rPr>
        <w:t>.</w:t>
      </w:r>
    </w:p>
    <w:p w14:paraId="2F14F295" w14:textId="73ECF51D" w:rsidR="001C40A2" w:rsidRPr="0043352F" w:rsidRDefault="001C40A2" w:rsidP="001C40A2">
      <w:pPr>
        <w:pStyle w:val="paragraph"/>
        <w:numPr>
          <w:ilvl w:val="0"/>
          <w:numId w:val="42"/>
        </w:numPr>
        <w:spacing w:beforeAutospacing="0" w:after="0" w:afterAutospacing="0"/>
        <w:textAlignment w:val="baseline"/>
        <w:rPr>
          <w:rStyle w:val="normaltextrun"/>
          <w:rFonts w:ascii="Arial" w:eastAsiaTheme="majorEastAsia" w:hAnsi="Arial" w:cs="Arial"/>
        </w:rPr>
      </w:pPr>
      <w:r w:rsidRPr="0043352F">
        <w:rPr>
          <w:rStyle w:val="normaltextrun"/>
          <w:rFonts w:ascii="Arial" w:eastAsiaTheme="majorEastAsia" w:hAnsi="Arial" w:cs="Arial"/>
        </w:rPr>
        <w:t>Engagement in independent political associations</w:t>
      </w:r>
      <w:r>
        <w:rPr>
          <w:rStyle w:val="normaltextrun"/>
          <w:rFonts w:ascii="Arial" w:eastAsiaTheme="majorEastAsia" w:hAnsi="Arial" w:cs="Arial"/>
        </w:rPr>
        <w:t xml:space="preserve">. </w:t>
      </w:r>
      <w:r w:rsidR="006A005F">
        <w:rPr>
          <w:rFonts w:ascii="Arial" w:hAnsi="Arial" w:cs="Arial"/>
          <w:lang w:val="en-GB"/>
        </w:rPr>
        <w:t>Fuente</w:t>
      </w:r>
      <w:r>
        <w:rPr>
          <w:rStyle w:val="normaltextrun"/>
          <w:rFonts w:ascii="Arial" w:eastAsiaTheme="majorEastAsia" w:hAnsi="Arial" w:cs="Arial"/>
        </w:rPr>
        <w:t xml:space="preserve">: </w:t>
      </w:r>
      <w:r w:rsidRPr="0043352F">
        <w:rPr>
          <w:rStyle w:val="normaltextrun"/>
          <w:rFonts w:ascii="Arial" w:eastAsiaTheme="majorEastAsia" w:hAnsi="Arial" w:cs="Arial"/>
        </w:rPr>
        <w:t>V-Dem Institute</w:t>
      </w:r>
      <w:r>
        <w:rPr>
          <w:rStyle w:val="normaltextrun"/>
          <w:rFonts w:ascii="Arial" w:eastAsiaTheme="majorEastAsia" w:hAnsi="Arial" w:cs="Arial"/>
        </w:rPr>
        <w:t>.</w:t>
      </w:r>
      <w:r w:rsidRPr="0043352F">
        <w:rPr>
          <w:rStyle w:val="normaltextrun"/>
          <w:rFonts w:ascii="Arial" w:eastAsiaTheme="majorEastAsia" w:hAnsi="Arial" w:cs="Arial"/>
        </w:rPr>
        <w:br/>
        <w:t>Engagement in independent non-political associations</w:t>
      </w:r>
      <w:r>
        <w:rPr>
          <w:rStyle w:val="normaltextrun"/>
          <w:rFonts w:ascii="Arial" w:eastAsiaTheme="majorEastAsia" w:hAnsi="Arial" w:cs="Arial"/>
        </w:rPr>
        <w:t xml:space="preserve">. </w:t>
      </w:r>
      <w:r w:rsidR="006A005F">
        <w:rPr>
          <w:rFonts w:ascii="Arial" w:hAnsi="Arial" w:cs="Arial"/>
          <w:lang w:val="en-GB"/>
        </w:rPr>
        <w:t>Fuente</w:t>
      </w:r>
      <w:r>
        <w:rPr>
          <w:rStyle w:val="normaltextrun"/>
          <w:rFonts w:ascii="Arial" w:eastAsiaTheme="majorEastAsia" w:hAnsi="Arial" w:cs="Arial"/>
        </w:rPr>
        <w:t xml:space="preserve">: </w:t>
      </w:r>
      <w:r w:rsidRPr="0043352F">
        <w:rPr>
          <w:rStyle w:val="normaltextrun"/>
          <w:rFonts w:ascii="Arial" w:eastAsiaTheme="majorEastAsia" w:hAnsi="Arial" w:cs="Arial"/>
        </w:rPr>
        <w:t>V-Dem Institute</w:t>
      </w:r>
      <w:r>
        <w:rPr>
          <w:rStyle w:val="normaltextrun"/>
          <w:rFonts w:ascii="Arial" w:eastAsiaTheme="majorEastAsia" w:hAnsi="Arial" w:cs="Arial"/>
        </w:rPr>
        <w:t>-</w:t>
      </w:r>
    </w:p>
    <w:p w14:paraId="51AB1A84" w14:textId="40CA6391" w:rsidR="001C40A2" w:rsidRPr="0043352F" w:rsidRDefault="001C40A2" w:rsidP="001C40A2">
      <w:pPr>
        <w:pStyle w:val="paragraph"/>
        <w:numPr>
          <w:ilvl w:val="0"/>
          <w:numId w:val="42"/>
        </w:numPr>
        <w:spacing w:beforeAutospacing="0" w:after="0" w:afterAutospacing="0"/>
        <w:textAlignment w:val="baseline"/>
        <w:rPr>
          <w:rStyle w:val="normaltextrun"/>
          <w:rFonts w:ascii="Arial" w:eastAsiaTheme="majorEastAsia" w:hAnsi="Arial" w:cs="Arial"/>
        </w:rPr>
      </w:pPr>
      <w:r w:rsidRPr="0043352F">
        <w:rPr>
          <w:rStyle w:val="normaltextrun"/>
          <w:rFonts w:ascii="Arial" w:eastAsiaTheme="majorEastAsia" w:hAnsi="Arial" w:cs="Arial"/>
        </w:rPr>
        <w:t>Civic Engagement Indicator</w:t>
      </w:r>
      <w:r>
        <w:rPr>
          <w:rStyle w:val="normaltextrun"/>
          <w:rFonts w:ascii="Arial" w:eastAsiaTheme="majorEastAsia" w:hAnsi="Arial" w:cs="Arial"/>
        </w:rPr>
        <w:t xml:space="preserve">. </w:t>
      </w:r>
      <w:r w:rsidR="006A005F">
        <w:rPr>
          <w:rFonts w:ascii="Arial" w:hAnsi="Arial" w:cs="Arial"/>
          <w:lang w:val="en-GB"/>
        </w:rPr>
        <w:t>Fuente</w:t>
      </w:r>
      <w:r>
        <w:rPr>
          <w:rStyle w:val="normaltextrun"/>
          <w:rFonts w:ascii="Arial" w:eastAsiaTheme="majorEastAsia" w:hAnsi="Arial" w:cs="Arial"/>
        </w:rPr>
        <w:t xml:space="preserve">: </w:t>
      </w:r>
      <w:r w:rsidRPr="0043352F">
        <w:rPr>
          <w:rStyle w:val="normaltextrun"/>
          <w:rFonts w:ascii="Arial" w:eastAsiaTheme="majorEastAsia" w:hAnsi="Arial" w:cs="Arial"/>
        </w:rPr>
        <w:t>Gallup World Values Survey</w:t>
      </w:r>
      <w:r>
        <w:rPr>
          <w:rStyle w:val="normaltextrun"/>
          <w:rFonts w:ascii="Arial" w:eastAsiaTheme="majorEastAsia" w:hAnsi="Arial" w:cs="Arial"/>
        </w:rPr>
        <w:t>.</w:t>
      </w:r>
    </w:p>
    <w:p w14:paraId="2C25125F" w14:textId="40BDEC15" w:rsidR="001C40A2" w:rsidRPr="0043352F" w:rsidRDefault="001C40A2" w:rsidP="001C40A2">
      <w:pPr>
        <w:pStyle w:val="paragraph"/>
        <w:numPr>
          <w:ilvl w:val="0"/>
          <w:numId w:val="42"/>
        </w:numPr>
        <w:spacing w:beforeAutospacing="0" w:after="0" w:afterAutospacing="0"/>
        <w:textAlignment w:val="baseline"/>
        <w:rPr>
          <w:rStyle w:val="normaltextrun"/>
          <w:rFonts w:ascii="Arial" w:eastAsiaTheme="majorEastAsia" w:hAnsi="Arial" w:cs="Arial"/>
        </w:rPr>
      </w:pPr>
      <w:r w:rsidRPr="0043352F">
        <w:rPr>
          <w:rStyle w:val="normaltextrun"/>
          <w:rFonts w:ascii="Arial" w:eastAsiaTheme="majorEastAsia" w:hAnsi="Arial" w:cs="Arial"/>
        </w:rPr>
        <w:t>Political rights and duties in the curriculum</w:t>
      </w:r>
      <w:r>
        <w:rPr>
          <w:rStyle w:val="normaltextrun"/>
          <w:rFonts w:ascii="Arial" w:eastAsiaTheme="majorEastAsia" w:hAnsi="Arial" w:cs="Arial"/>
        </w:rPr>
        <w:t xml:space="preserve">. </w:t>
      </w:r>
      <w:r w:rsidR="006A005F">
        <w:rPr>
          <w:rFonts w:ascii="Arial" w:hAnsi="Arial" w:cs="Arial"/>
          <w:lang w:val="en-GB"/>
        </w:rPr>
        <w:t>Fuente</w:t>
      </w:r>
      <w:r>
        <w:rPr>
          <w:rStyle w:val="normaltextrun"/>
          <w:rFonts w:ascii="Arial" w:eastAsiaTheme="majorEastAsia" w:hAnsi="Arial" w:cs="Arial"/>
        </w:rPr>
        <w:t xml:space="preserve">: </w:t>
      </w:r>
      <w:r w:rsidRPr="0043352F">
        <w:rPr>
          <w:rStyle w:val="normaltextrun"/>
          <w:rFonts w:ascii="Arial" w:eastAsiaTheme="majorEastAsia" w:hAnsi="Arial" w:cs="Arial"/>
        </w:rPr>
        <w:t>V-Dem Institute</w:t>
      </w:r>
      <w:r>
        <w:rPr>
          <w:rStyle w:val="normaltextrun"/>
          <w:rFonts w:ascii="Arial" w:eastAsiaTheme="majorEastAsia" w:hAnsi="Arial" w:cs="Arial"/>
        </w:rPr>
        <w:t>.</w:t>
      </w:r>
    </w:p>
    <w:p w14:paraId="253E86E1" w14:textId="77777777" w:rsidR="001C40A2" w:rsidRPr="00596A57" w:rsidRDefault="001C40A2" w:rsidP="001C40A2">
      <w:pPr>
        <w:pStyle w:val="paragraph"/>
        <w:spacing w:beforeAutospacing="0" w:after="0" w:afterAutospacing="0"/>
        <w:ind w:left="720"/>
        <w:textAlignment w:val="baseline"/>
        <w:rPr>
          <w:rStyle w:val="normaltextrun"/>
          <w:rFonts w:eastAsiaTheme="majorEastAsia"/>
        </w:rPr>
      </w:pPr>
    </w:p>
    <w:p w14:paraId="6AC91A56" w14:textId="25F3B953" w:rsidR="001C40A2" w:rsidRPr="001C40A2" w:rsidRDefault="001C40A2" w:rsidP="001C40A2">
      <w:pPr>
        <w:rPr>
          <w:rFonts w:ascii="Arial" w:hAnsi="Arial" w:cs="Arial"/>
          <w:sz w:val="24"/>
          <w:szCs w:val="24"/>
          <w:lang w:val="en-GB"/>
        </w:rPr>
      </w:pPr>
      <w:r w:rsidRPr="00596A57">
        <w:rPr>
          <w:rFonts w:ascii="Arial" w:hAnsi="Arial" w:cs="Arial"/>
          <w:sz w:val="24"/>
          <w:szCs w:val="24"/>
          <w:lang w:val="en"/>
        </w:rPr>
        <w:t xml:space="preserve">5.3 | </w:t>
      </w:r>
      <w:r w:rsidR="002D6D55" w:rsidRPr="002D6D55">
        <w:rPr>
          <w:rFonts w:ascii="Arial" w:eastAsia="Times New Roman" w:hAnsi="Arial" w:cs="Arial"/>
          <w:sz w:val="24"/>
          <w:szCs w:val="24"/>
          <w:lang w:val="es-UY"/>
        </w:rPr>
        <w:t>Igualdad e Inclusión Cívica</w:t>
      </w:r>
    </w:p>
    <w:p w14:paraId="400442B6" w14:textId="3E3147F1" w:rsidR="001C40A2" w:rsidRPr="0043352F" w:rsidRDefault="001C40A2" w:rsidP="001C40A2">
      <w:pPr>
        <w:pStyle w:val="paragraph"/>
        <w:numPr>
          <w:ilvl w:val="0"/>
          <w:numId w:val="46"/>
        </w:numPr>
        <w:spacing w:beforeAutospacing="0" w:after="0" w:afterAutospacing="0"/>
        <w:textAlignment w:val="baseline"/>
        <w:rPr>
          <w:rFonts w:ascii="Arial" w:hAnsi="Arial" w:cs="Arial"/>
          <w:lang w:val="en-GB"/>
        </w:rPr>
      </w:pPr>
      <w:r w:rsidRPr="00596A57">
        <w:rPr>
          <w:rFonts w:ascii="Arial" w:eastAsiaTheme="majorEastAsia" w:hAnsi="Arial" w:cs="Arial"/>
          <w:lang w:val="en"/>
        </w:rPr>
        <w:t>​​</w:t>
      </w:r>
      <w:r w:rsidRPr="0043352F">
        <w:rPr>
          <w:rFonts w:ascii="Arial" w:hAnsi="Arial" w:cs="Arial"/>
          <w:lang w:val="en-GB"/>
        </w:rPr>
        <w:t>CSO women’s participatio</w:t>
      </w:r>
      <w:r>
        <w:rPr>
          <w:rFonts w:ascii="Arial" w:hAnsi="Arial" w:cs="Arial"/>
          <w:lang w:val="en-GB"/>
        </w:rPr>
        <w:t xml:space="preserve">n. </w:t>
      </w:r>
      <w:r w:rsidR="006A005F">
        <w:rPr>
          <w:rFonts w:ascii="Arial" w:hAnsi="Arial" w:cs="Arial"/>
          <w:lang w:val="en-GB"/>
        </w:rPr>
        <w:t>Fuente</w:t>
      </w:r>
      <w:r>
        <w:rPr>
          <w:rFonts w:ascii="Arial" w:hAnsi="Arial" w:cs="Arial"/>
          <w:lang w:val="en-GB"/>
        </w:rPr>
        <w:t xml:space="preserve">: </w:t>
      </w:r>
      <w:r w:rsidRPr="0043352F">
        <w:rPr>
          <w:rFonts w:ascii="Arial" w:hAnsi="Arial" w:cs="Arial"/>
          <w:lang w:val="en-GB"/>
        </w:rPr>
        <w:t>V-Dem Institute</w:t>
      </w:r>
      <w:r>
        <w:rPr>
          <w:rFonts w:ascii="Arial" w:hAnsi="Arial" w:cs="Arial"/>
          <w:lang w:val="en-GB"/>
        </w:rPr>
        <w:t>.</w:t>
      </w:r>
    </w:p>
    <w:p w14:paraId="7E80287D" w14:textId="67930240" w:rsidR="001C40A2" w:rsidRPr="0043352F" w:rsidRDefault="001C40A2" w:rsidP="001C40A2">
      <w:pPr>
        <w:pStyle w:val="paragraph"/>
        <w:numPr>
          <w:ilvl w:val="0"/>
          <w:numId w:val="46"/>
        </w:numPr>
        <w:spacing w:beforeAutospacing="0" w:after="0" w:afterAutospacing="0"/>
        <w:textAlignment w:val="baseline"/>
        <w:rPr>
          <w:rFonts w:ascii="Arial" w:hAnsi="Arial" w:cs="Arial"/>
          <w:lang w:val="en-GB"/>
        </w:rPr>
      </w:pPr>
      <w:r w:rsidRPr="0043352F">
        <w:rPr>
          <w:rFonts w:ascii="Arial" w:hAnsi="Arial" w:cs="Arial"/>
          <w:lang w:val="en-GB"/>
        </w:rPr>
        <w:t>Freedom of discussion for women</w:t>
      </w:r>
      <w:r>
        <w:rPr>
          <w:rFonts w:ascii="Arial" w:hAnsi="Arial" w:cs="Arial"/>
          <w:lang w:val="en-GB"/>
        </w:rPr>
        <w:t xml:space="preserve">. </w:t>
      </w:r>
      <w:r w:rsidR="006A005F">
        <w:rPr>
          <w:rFonts w:ascii="Arial" w:hAnsi="Arial" w:cs="Arial"/>
          <w:lang w:val="en-GB"/>
        </w:rPr>
        <w:t>Fuente</w:t>
      </w:r>
      <w:r>
        <w:rPr>
          <w:rFonts w:ascii="Arial" w:hAnsi="Arial" w:cs="Arial"/>
          <w:lang w:val="en-GB"/>
        </w:rPr>
        <w:t xml:space="preserve">: </w:t>
      </w:r>
      <w:r w:rsidRPr="0043352F">
        <w:rPr>
          <w:rFonts w:ascii="Arial" w:hAnsi="Arial" w:cs="Arial"/>
          <w:lang w:val="en-GB"/>
        </w:rPr>
        <w:t>V-Dem Institute</w:t>
      </w:r>
      <w:r>
        <w:rPr>
          <w:rFonts w:ascii="Arial" w:hAnsi="Arial" w:cs="Arial"/>
          <w:lang w:val="en-GB"/>
        </w:rPr>
        <w:t>.</w:t>
      </w:r>
      <w:r w:rsidRPr="0043352F">
        <w:rPr>
          <w:rFonts w:ascii="Arial" w:hAnsi="Arial" w:cs="Arial"/>
          <w:lang w:val="en-GB"/>
        </w:rPr>
        <w:t xml:space="preserve"> </w:t>
      </w:r>
    </w:p>
    <w:p w14:paraId="159E4497" w14:textId="16CEBB71" w:rsidR="001C40A2" w:rsidRDefault="001C40A2" w:rsidP="001C40A2">
      <w:pPr>
        <w:pStyle w:val="paragraph"/>
        <w:numPr>
          <w:ilvl w:val="0"/>
          <w:numId w:val="46"/>
        </w:numPr>
        <w:spacing w:beforeAutospacing="0" w:after="0" w:afterAutospacing="0"/>
        <w:textAlignment w:val="baseline"/>
        <w:rPr>
          <w:rFonts w:ascii="Arial" w:hAnsi="Arial" w:cs="Arial"/>
          <w:lang w:val="en-GB"/>
        </w:rPr>
      </w:pPr>
      <w:r w:rsidRPr="00E411F3">
        <w:rPr>
          <w:rFonts w:ascii="Arial" w:hAnsi="Arial" w:cs="Arial"/>
          <w:lang w:val="en-GB"/>
        </w:rPr>
        <w:t xml:space="preserve">Urban-rural location equality in respect for civil liberties. </w:t>
      </w:r>
      <w:r w:rsidR="006A005F">
        <w:rPr>
          <w:rFonts w:ascii="Arial" w:hAnsi="Arial" w:cs="Arial"/>
          <w:lang w:val="en-GB"/>
        </w:rPr>
        <w:t>Fuente</w:t>
      </w:r>
      <w:r w:rsidRPr="00E411F3">
        <w:rPr>
          <w:rFonts w:ascii="Arial" w:hAnsi="Arial" w:cs="Arial"/>
          <w:lang w:val="en-GB"/>
        </w:rPr>
        <w:t>: V-Dem Institute</w:t>
      </w:r>
      <w:r>
        <w:rPr>
          <w:rFonts w:ascii="Arial" w:hAnsi="Arial" w:cs="Arial"/>
          <w:lang w:val="en-GB"/>
        </w:rPr>
        <w:t>.</w:t>
      </w:r>
    </w:p>
    <w:p w14:paraId="73BA0E06" w14:textId="704960E2" w:rsidR="001C40A2" w:rsidRPr="00E411F3" w:rsidRDefault="001C40A2" w:rsidP="001C40A2">
      <w:pPr>
        <w:pStyle w:val="paragraph"/>
        <w:numPr>
          <w:ilvl w:val="0"/>
          <w:numId w:val="46"/>
        </w:numPr>
        <w:spacing w:beforeAutospacing="0" w:after="0" w:afterAutospacing="0"/>
        <w:textAlignment w:val="baseline"/>
        <w:rPr>
          <w:rFonts w:ascii="Arial" w:hAnsi="Arial" w:cs="Arial"/>
          <w:lang w:val="en-GB"/>
        </w:rPr>
      </w:pPr>
      <w:r w:rsidRPr="00E411F3">
        <w:rPr>
          <w:rFonts w:ascii="Arial" w:hAnsi="Arial" w:cs="Arial"/>
          <w:lang w:val="en-GB"/>
        </w:rPr>
        <w:lastRenderedPageBreak/>
        <w:t>Gender equality in respect for civil liberties</w:t>
      </w:r>
      <w:r>
        <w:rPr>
          <w:rFonts w:ascii="Arial" w:hAnsi="Arial" w:cs="Arial"/>
          <w:lang w:val="en-GB"/>
        </w:rPr>
        <w:t xml:space="preserve">. </w:t>
      </w:r>
      <w:r w:rsidR="006A005F">
        <w:rPr>
          <w:rFonts w:ascii="Arial" w:hAnsi="Arial" w:cs="Arial"/>
          <w:lang w:val="en-GB"/>
        </w:rPr>
        <w:t>Fuente</w:t>
      </w:r>
      <w:r>
        <w:rPr>
          <w:rFonts w:ascii="Arial" w:hAnsi="Arial" w:cs="Arial"/>
          <w:lang w:val="en-GB"/>
        </w:rPr>
        <w:t xml:space="preserve">: </w:t>
      </w:r>
      <w:r w:rsidRPr="00E411F3">
        <w:rPr>
          <w:rFonts w:ascii="Arial" w:hAnsi="Arial" w:cs="Arial"/>
          <w:lang w:val="en-GB"/>
        </w:rPr>
        <w:t>V-Dem Institut</w:t>
      </w:r>
      <w:r>
        <w:rPr>
          <w:rFonts w:ascii="Arial" w:hAnsi="Arial" w:cs="Arial"/>
          <w:lang w:val="en-GB"/>
        </w:rPr>
        <w:t>e.</w:t>
      </w:r>
    </w:p>
    <w:p w14:paraId="43B8ECB9" w14:textId="660562B4" w:rsidR="001C40A2" w:rsidRPr="0043352F" w:rsidRDefault="001C40A2" w:rsidP="001C40A2">
      <w:pPr>
        <w:pStyle w:val="paragraph"/>
        <w:numPr>
          <w:ilvl w:val="0"/>
          <w:numId w:val="46"/>
        </w:numPr>
        <w:spacing w:beforeAutospacing="0" w:after="0" w:afterAutospacing="0"/>
        <w:textAlignment w:val="baseline"/>
        <w:rPr>
          <w:rFonts w:ascii="Arial" w:hAnsi="Arial" w:cs="Arial"/>
          <w:lang w:val="en-GB"/>
        </w:rPr>
      </w:pPr>
      <w:r w:rsidRPr="0043352F">
        <w:rPr>
          <w:rFonts w:ascii="Arial" w:hAnsi="Arial" w:cs="Arial"/>
          <w:lang w:val="en-GB"/>
        </w:rPr>
        <w:t>Equal treatment and absence of discrimination</w:t>
      </w:r>
      <w:r>
        <w:rPr>
          <w:rFonts w:ascii="Arial" w:hAnsi="Arial" w:cs="Arial"/>
          <w:lang w:val="en-GB"/>
        </w:rPr>
        <w:t xml:space="preserve">. </w:t>
      </w:r>
      <w:r w:rsidR="006A005F">
        <w:rPr>
          <w:rFonts w:ascii="Arial" w:hAnsi="Arial" w:cs="Arial"/>
          <w:lang w:val="en-GB"/>
        </w:rPr>
        <w:t>Fuente</w:t>
      </w:r>
      <w:r>
        <w:rPr>
          <w:rFonts w:ascii="Arial" w:hAnsi="Arial" w:cs="Arial"/>
          <w:lang w:val="en-GB"/>
        </w:rPr>
        <w:t xml:space="preserve">: </w:t>
      </w:r>
      <w:r w:rsidRPr="0043352F">
        <w:rPr>
          <w:rFonts w:ascii="Arial" w:hAnsi="Arial" w:cs="Arial"/>
          <w:lang w:val="en-GB"/>
        </w:rPr>
        <w:t>World Justice Project, Rule of Law Index.​ </w:t>
      </w:r>
    </w:p>
    <w:p w14:paraId="285E4874" w14:textId="77777777" w:rsidR="001C40A2" w:rsidRPr="001C40A2" w:rsidRDefault="001C40A2" w:rsidP="001C40A2">
      <w:pPr>
        <w:rPr>
          <w:rFonts w:ascii="Arial" w:hAnsi="Arial" w:cs="Arial"/>
          <w:sz w:val="24"/>
          <w:szCs w:val="24"/>
          <w:lang w:val="en-GB"/>
        </w:rPr>
      </w:pPr>
    </w:p>
    <w:p w14:paraId="440E5C69" w14:textId="285AB49F" w:rsidR="001C40A2" w:rsidRPr="00E411F3" w:rsidRDefault="001C40A2" w:rsidP="001C40A2">
      <w:pPr>
        <w:rPr>
          <w:rFonts w:ascii="Arial" w:hAnsi="Arial" w:cs="Arial"/>
          <w:b/>
          <w:bCs/>
          <w:sz w:val="24"/>
          <w:szCs w:val="24"/>
        </w:rPr>
      </w:pPr>
      <w:r w:rsidRPr="00E411F3">
        <w:rPr>
          <w:rFonts w:ascii="Arial" w:hAnsi="Arial" w:cs="Arial"/>
          <w:b/>
          <w:bCs/>
          <w:sz w:val="24"/>
          <w:szCs w:val="24"/>
        </w:rPr>
        <w:t>Princip</w:t>
      </w:r>
      <w:r w:rsidR="004753C3">
        <w:rPr>
          <w:rFonts w:ascii="Arial" w:hAnsi="Arial" w:cs="Arial"/>
          <w:b/>
          <w:bCs/>
          <w:sz w:val="24"/>
          <w:szCs w:val="24"/>
        </w:rPr>
        <w:t>io</w:t>
      </w:r>
      <w:r w:rsidRPr="00E411F3">
        <w:rPr>
          <w:rFonts w:ascii="Arial" w:hAnsi="Arial" w:cs="Arial"/>
          <w:b/>
          <w:bCs/>
          <w:sz w:val="24"/>
          <w:szCs w:val="24"/>
        </w:rPr>
        <w:t xml:space="preserve"> 6</w:t>
      </w:r>
    </w:p>
    <w:p w14:paraId="75FC12EA" w14:textId="4C2B0633" w:rsidR="001C40A2" w:rsidRPr="001C40A2" w:rsidRDefault="001C40A2" w:rsidP="001C40A2">
      <w:pPr>
        <w:pStyle w:val="ListParagraph"/>
        <w:numPr>
          <w:ilvl w:val="1"/>
          <w:numId w:val="47"/>
        </w:numPr>
        <w:rPr>
          <w:rFonts w:ascii="Arial" w:hAnsi="Arial" w:cs="Arial"/>
          <w:sz w:val="24"/>
          <w:szCs w:val="24"/>
          <w:lang w:val="en-GB"/>
        </w:rPr>
      </w:pPr>
      <w:r w:rsidRPr="001C40A2">
        <w:rPr>
          <w:rFonts w:ascii="Arial" w:hAnsi="Arial" w:cs="Arial"/>
          <w:sz w:val="24"/>
          <w:szCs w:val="24"/>
          <w:lang w:val="en-GB"/>
        </w:rPr>
        <w:t xml:space="preserve">| </w:t>
      </w:r>
      <w:proofErr w:type="spellStart"/>
      <w:r w:rsidR="00E83CD4">
        <w:rPr>
          <w:rFonts w:ascii="Arial" w:hAnsi="Arial" w:cs="Arial"/>
          <w:sz w:val="24"/>
          <w:szCs w:val="24"/>
          <w:lang w:val="en-GB"/>
        </w:rPr>
        <w:t>Derecho</w:t>
      </w:r>
      <w:proofErr w:type="spellEnd"/>
      <w:r w:rsidR="00E83CD4">
        <w:rPr>
          <w:rFonts w:ascii="Arial" w:hAnsi="Arial" w:cs="Arial"/>
          <w:sz w:val="24"/>
          <w:szCs w:val="24"/>
          <w:lang w:val="en-GB"/>
        </w:rPr>
        <w:t xml:space="preserve"> y </w:t>
      </w:r>
      <w:proofErr w:type="spellStart"/>
      <w:r w:rsidR="00E83CD4">
        <w:rPr>
          <w:rFonts w:ascii="Arial" w:hAnsi="Arial" w:cs="Arial"/>
          <w:sz w:val="24"/>
          <w:szCs w:val="24"/>
          <w:lang w:val="en-GB"/>
        </w:rPr>
        <w:t>libertades</w:t>
      </w:r>
      <w:proofErr w:type="spellEnd"/>
      <w:r w:rsidR="00E83CD4">
        <w:rPr>
          <w:rFonts w:ascii="Arial" w:hAnsi="Arial" w:cs="Arial"/>
          <w:sz w:val="24"/>
          <w:szCs w:val="24"/>
          <w:lang w:val="en-GB"/>
        </w:rPr>
        <w:t xml:space="preserve"> </w:t>
      </w:r>
      <w:proofErr w:type="spellStart"/>
      <w:r w:rsidR="00E83CD4">
        <w:rPr>
          <w:rFonts w:ascii="Arial" w:hAnsi="Arial" w:cs="Arial"/>
          <w:sz w:val="24"/>
          <w:szCs w:val="24"/>
          <w:lang w:val="en-GB"/>
        </w:rPr>
        <w:t>digitales</w:t>
      </w:r>
      <w:proofErr w:type="spellEnd"/>
      <w:r w:rsidRPr="001C40A2">
        <w:rPr>
          <w:rFonts w:ascii="Arial" w:hAnsi="Arial" w:cs="Arial"/>
          <w:sz w:val="24"/>
          <w:szCs w:val="24"/>
          <w:lang w:val="en-GB"/>
        </w:rPr>
        <w:br/>
      </w:r>
    </w:p>
    <w:p w14:paraId="626E94FD" w14:textId="09EB1070" w:rsidR="001C40A2" w:rsidRPr="001C40A2" w:rsidRDefault="001C40A2" w:rsidP="001C40A2">
      <w:pPr>
        <w:pStyle w:val="ListParagraph"/>
        <w:numPr>
          <w:ilvl w:val="0"/>
          <w:numId w:val="48"/>
        </w:numPr>
        <w:spacing w:before="240"/>
        <w:rPr>
          <w:rFonts w:ascii="Arial" w:hAnsi="Arial" w:cs="Arial"/>
          <w:sz w:val="24"/>
          <w:szCs w:val="24"/>
          <w:lang w:val="en-GB"/>
        </w:rPr>
      </w:pPr>
      <w:r w:rsidRPr="001C40A2">
        <w:rPr>
          <w:rFonts w:ascii="Arial" w:hAnsi="Arial" w:cs="Arial"/>
          <w:sz w:val="24"/>
          <w:szCs w:val="24"/>
          <w:lang w:val="en-GB"/>
        </w:rPr>
        <w:t xml:space="preserve">​​​How many internet shutdowns do CSOs face? </w:t>
      </w:r>
      <w:r w:rsidR="003E0116">
        <w:rPr>
          <w:rFonts w:ascii="Arial" w:hAnsi="Arial" w:cs="Arial"/>
          <w:sz w:val="24"/>
          <w:szCs w:val="24"/>
          <w:lang w:val="en-GB"/>
        </w:rPr>
        <w:t>Fuente</w:t>
      </w:r>
      <w:r w:rsidRPr="001C40A2">
        <w:rPr>
          <w:rFonts w:ascii="Arial" w:hAnsi="Arial" w:cs="Arial"/>
          <w:sz w:val="24"/>
          <w:szCs w:val="24"/>
          <w:lang w:val="en-GB"/>
        </w:rPr>
        <w:t xml:space="preserve">: Cloudflare Radar and ISOC Pulse. </w:t>
      </w:r>
    </w:p>
    <w:p w14:paraId="4756A306" w14:textId="18CA61DB" w:rsidR="001C40A2" w:rsidRPr="0043352F" w:rsidRDefault="001C40A2" w:rsidP="001C40A2">
      <w:pPr>
        <w:pStyle w:val="ListParagraph"/>
        <w:numPr>
          <w:ilvl w:val="0"/>
          <w:numId w:val="48"/>
        </w:numPr>
        <w:spacing w:after="0"/>
        <w:rPr>
          <w:rFonts w:ascii="Arial" w:hAnsi="Arial" w:cs="Arial"/>
          <w:sz w:val="24"/>
          <w:szCs w:val="24"/>
          <w:lang w:val="en-GB"/>
        </w:rPr>
      </w:pPr>
      <w:r w:rsidRPr="001C40A2">
        <w:rPr>
          <w:rFonts w:ascii="Arial" w:hAnsi="Arial" w:cs="Arial"/>
          <w:sz w:val="24"/>
          <w:szCs w:val="24"/>
          <w:lang w:val="en-GB"/>
        </w:rPr>
        <w:t xml:space="preserve">How often does the government shut down access to social media platforms to CSOs? </w:t>
      </w:r>
      <w:r w:rsidR="003E0116">
        <w:rPr>
          <w:rFonts w:ascii="Arial" w:hAnsi="Arial" w:cs="Arial"/>
          <w:sz w:val="24"/>
          <w:szCs w:val="24"/>
          <w:lang w:val="en-GB"/>
        </w:rPr>
        <w:t>Fuente</w:t>
      </w:r>
      <w:r w:rsidRPr="0043352F">
        <w:rPr>
          <w:rFonts w:ascii="Arial" w:hAnsi="Arial" w:cs="Arial"/>
          <w:sz w:val="24"/>
          <w:szCs w:val="24"/>
        </w:rPr>
        <w:t>: V-Dem​</w:t>
      </w:r>
      <w:r w:rsidRPr="0043352F">
        <w:rPr>
          <w:rFonts w:ascii="Arial" w:hAnsi="Arial" w:cs="Arial"/>
          <w:sz w:val="24"/>
          <w:szCs w:val="24"/>
          <w:lang w:val="en-GB"/>
        </w:rPr>
        <w:t> </w:t>
      </w:r>
    </w:p>
    <w:p w14:paraId="61B8F358" w14:textId="7E25EA6D" w:rsidR="001C40A2" w:rsidRPr="00596A57" w:rsidRDefault="001C40A2" w:rsidP="001C40A2">
      <w:pPr>
        <w:numPr>
          <w:ilvl w:val="0"/>
          <w:numId w:val="43"/>
        </w:numPr>
        <w:spacing w:after="0"/>
        <w:rPr>
          <w:rFonts w:ascii="Arial" w:hAnsi="Arial" w:cs="Arial"/>
          <w:sz w:val="24"/>
          <w:szCs w:val="24"/>
          <w:lang w:val="en-GB"/>
        </w:rPr>
      </w:pPr>
      <w:r w:rsidRPr="00596A57">
        <w:rPr>
          <w:rFonts w:ascii="Arial" w:hAnsi="Arial" w:cs="Arial"/>
          <w:sz w:val="24"/>
          <w:szCs w:val="24"/>
          <w:lang w:val="en-US"/>
        </w:rPr>
        <w:t xml:space="preserve">​How frequently does the government censor political information (text, audio, images, or video) on the internet by filtering (blocking access to certain websites)? </w:t>
      </w:r>
      <w:r w:rsidR="003E0116">
        <w:rPr>
          <w:rFonts w:ascii="Arial" w:hAnsi="Arial" w:cs="Arial"/>
          <w:sz w:val="24"/>
          <w:szCs w:val="24"/>
          <w:lang w:val="en-GB"/>
        </w:rPr>
        <w:t>Fuente</w:t>
      </w:r>
      <w:r w:rsidRPr="00596A57">
        <w:rPr>
          <w:rFonts w:ascii="Arial" w:hAnsi="Arial" w:cs="Arial"/>
          <w:sz w:val="24"/>
          <w:szCs w:val="24"/>
          <w:lang w:val="en-US"/>
        </w:rPr>
        <w:t>: V-Dem</w:t>
      </w:r>
      <w:r w:rsidRPr="00596A57">
        <w:rPr>
          <w:rFonts w:ascii="Arial" w:hAnsi="Arial" w:cs="Arial"/>
          <w:sz w:val="24"/>
          <w:szCs w:val="24"/>
          <w:lang w:val="en-GB"/>
        </w:rPr>
        <w:t> </w:t>
      </w:r>
    </w:p>
    <w:p w14:paraId="0F5C72D4" w14:textId="7090AEC3" w:rsidR="001C40A2" w:rsidRPr="00596A57" w:rsidRDefault="001C40A2" w:rsidP="001C40A2">
      <w:pPr>
        <w:numPr>
          <w:ilvl w:val="0"/>
          <w:numId w:val="44"/>
        </w:numPr>
        <w:spacing w:after="0"/>
        <w:rPr>
          <w:rFonts w:ascii="Arial" w:hAnsi="Arial" w:cs="Arial"/>
          <w:sz w:val="24"/>
          <w:szCs w:val="24"/>
          <w:lang w:val="es-UY"/>
        </w:rPr>
      </w:pPr>
      <w:r w:rsidRPr="00596A57">
        <w:rPr>
          <w:rFonts w:ascii="Arial" w:hAnsi="Arial" w:cs="Arial"/>
          <w:sz w:val="24"/>
          <w:szCs w:val="24"/>
          <w:lang w:val="en-US"/>
        </w:rPr>
        <w:t xml:space="preserve">​To what degree does the government censor political content (e.g., deleting or filtering specific posts for political reasons) on social media? </w:t>
      </w:r>
      <w:r w:rsidR="003E0116">
        <w:rPr>
          <w:rFonts w:ascii="Arial" w:hAnsi="Arial" w:cs="Arial"/>
          <w:sz w:val="24"/>
          <w:szCs w:val="24"/>
          <w:lang w:val="en-GB"/>
        </w:rPr>
        <w:t>Fuente</w:t>
      </w:r>
      <w:r w:rsidRPr="00596A57">
        <w:rPr>
          <w:rFonts w:ascii="Arial" w:hAnsi="Arial" w:cs="Arial"/>
          <w:sz w:val="24"/>
          <w:szCs w:val="24"/>
          <w:lang w:val="en-US"/>
        </w:rPr>
        <w:t>: V-Dem</w:t>
      </w:r>
      <w:r w:rsidRPr="00596A57">
        <w:rPr>
          <w:rFonts w:ascii="Arial" w:hAnsi="Arial" w:cs="Arial"/>
          <w:sz w:val="24"/>
          <w:szCs w:val="24"/>
          <w:lang w:val="es-UY"/>
        </w:rPr>
        <w:t> </w:t>
      </w:r>
    </w:p>
    <w:p w14:paraId="68ADEC28" w14:textId="41ECAA8A" w:rsidR="001C40A2" w:rsidRDefault="001C40A2" w:rsidP="001C40A2">
      <w:pPr>
        <w:numPr>
          <w:ilvl w:val="0"/>
          <w:numId w:val="45"/>
        </w:numPr>
        <w:spacing w:after="0"/>
        <w:rPr>
          <w:rFonts w:ascii="Arial" w:hAnsi="Arial" w:cs="Arial"/>
          <w:sz w:val="24"/>
          <w:szCs w:val="24"/>
          <w:lang w:val="es-UY"/>
        </w:rPr>
      </w:pPr>
      <w:r w:rsidRPr="00596A57">
        <w:rPr>
          <w:rFonts w:ascii="Arial" w:hAnsi="Arial" w:cs="Arial"/>
          <w:sz w:val="24"/>
          <w:szCs w:val="24"/>
          <w:lang w:val="en-GB"/>
        </w:rPr>
        <w:t xml:space="preserve">​How comprehensive is the government’s surveillance of political content on social media? </w:t>
      </w:r>
      <w:r w:rsidR="003E0116">
        <w:rPr>
          <w:rFonts w:ascii="Arial" w:hAnsi="Arial" w:cs="Arial"/>
          <w:sz w:val="24"/>
          <w:szCs w:val="24"/>
          <w:lang w:val="en-GB"/>
        </w:rPr>
        <w:t>Fuente</w:t>
      </w:r>
      <w:r w:rsidRPr="00596A57">
        <w:rPr>
          <w:rFonts w:ascii="Arial" w:hAnsi="Arial" w:cs="Arial"/>
          <w:sz w:val="24"/>
          <w:szCs w:val="24"/>
        </w:rPr>
        <w:t>: V-Dem​</w:t>
      </w:r>
      <w:r w:rsidRPr="00596A57">
        <w:rPr>
          <w:rFonts w:ascii="Arial" w:hAnsi="Arial" w:cs="Arial"/>
          <w:sz w:val="24"/>
          <w:szCs w:val="24"/>
          <w:lang w:val="es-UY"/>
        </w:rPr>
        <w:t> </w:t>
      </w:r>
    </w:p>
    <w:p w14:paraId="73499CC2" w14:textId="77777777" w:rsidR="001C40A2" w:rsidRDefault="001C40A2" w:rsidP="001C40A2">
      <w:pPr>
        <w:ind w:left="720"/>
        <w:rPr>
          <w:rFonts w:ascii="Arial" w:hAnsi="Arial" w:cs="Arial"/>
          <w:sz w:val="24"/>
          <w:szCs w:val="24"/>
          <w:lang w:val="es-UY"/>
        </w:rPr>
      </w:pPr>
    </w:p>
    <w:p w14:paraId="6A0FC3B2" w14:textId="1B50F9FF" w:rsidR="001C40A2" w:rsidRPr="001C40A2" w:rsidRDefault="001C40A2" w:rsidP="001C40A2">
      <w:pPr>
        <w:pStyle w:val="ListParagraph"/>
        <w:numPr>
          <w:ilvl w:val="1"/>
          <w:numId w:val="47"/>
        </w:numPr>
        <w:rPr>
          <w:rFonts w:ascii="Arial" w:hAnsi="Arial" w:cs="Arial"/>
          <w:sz w:val="24"/>
          <w:szCs w:val="24"/>
          <w:lang w:val="en-GB"/>
        </w:rPr>
      </w:pPr>
      <w:r w:rsidRPr="001C40A2">
        <w:rPr>
          <w:rFonts w:ascii="Arial" w:hAnsi="Arial" w:cs="Arial"/>
          <w:sz w:val="24"/>
          <w:szCs w:val="24"/>
          <w:lang w:val="en-GB"/>
        </w:rPr>
        <w:t>|</w:t>
      </w:r>
      <w:r w:rsidR="00E83CD4">
        <w:rPr>
          <w:rFonts w:ascii="Arial" w:hAnsi="Arial" w:cs="Arial"/>
          <w:sz w:val="24"/>
          <w:szCs w:val="24"/>
          <w:lang w:val="en-GB"/>
        </w:rPr>
        <w:t xml:space="preserve"> </w:t>
      </w:r>
      <w:proofErr w:type="spellStart"/>
      <w:r w:rsidR="00E83CD4">
        <w:rPr>
          <w:rFonts w:ascii="Arial" w:hAnsi="Arial" w:cs="Arial"/>
          <w:sz w:val="24"/>
          <w:szCs w:val="24"/>
          <w:lang w:val="en-GB"/>
        </w:rPr>
        <w:t>Accesibilidad</w:t>
      </w:r>
      <w:proofErr w:type="spellEnd"/>
      <w:r w:rsidR="00E83CD4">
        <w:rPr>
          <w:rFonts w:ascii="Arial" w:hAnsi="Arial" w:cs="Arial"/>
          <w:sz w:val="24"/>
          <w:szCs w:val="24"/>
          <w:lang w:val="en-GB"/>
        </w:rPr>
        <w:t xml:space="preserve"> digital</w:t>
      </w:r>
    </w:p>
    <w:p w14:paraId="79D3825D" w14:textId="6E5BDEB9" w:rsidR="001C40A2" w:rsidRPr="0043352F" w:rsidRDefault="001C40A2" w:rsidP="001C40A2">
      <w:pPr>
        <w:pStyle w:val="ListParagraph"/>
        <w:numPr>
          <w:ilvl w:val="0"/>
          <w:numId w:val="49"/>
        </w:numPr>
        <w:rPr>
          <w:rFonts w:ascii="Arial" w:hAnsi="Arial" w:cs="Arial"/>
          <w:sz w:val="24"/>
          <w:szCs w:val="24"/>
          <w:lang w:val="en-GB"/>
        </w:rPr>
      </w:pPr>
      <w:r w:rsidRPr="0043352F">
        <w:rPr>
          <w:rFonts w:ascii="Arial" w:hAnsi="Arial" w:cs="Arial"/>
          <w:sz w:val="24"/>
          <w:szCs w:val="24"/>
          <w:lang w:val="en"/>
        </w:rPr>
        <w:t xml:space="preserve">What is the internet penetration rate in each country? </w:t>
      </w:r>
      <w:r w:rsidR="00F17255">
        <w:rPr>
          <w:rFonts w:ascii="Arial" w:hAnsi="Arial" w:cs="Arial"/>
          <w:sz w:val="24"/>
          <w:szCs w:val="24"/>
          <w:lang w:val="en-GB"/>
        </w:rPr>
        <w:t>Fuente</w:t>
      </w:r>
      <w:r w:rsidRPr="0043352F">
        <w:rPr>
          <w:rFonts w:ascii="Arial" w:hAnsi="Arial" w:cs="Arial"/>
          <w:sz w:val="24"/>
          <w:szCs w:val="24"/>
          <w:lang w:val="en"/>
        </w:rPr>
        <w:t>: Statista</w:t>
      </w:r>
    </w:p>
    <w:p w14:paraId="423D2FE8" w14:textId="1CDE4E11" w:rsidR="001C40A2" w:rsidRPr="0043352F" w:rsidRDefault="001C40A2" w:rsidP="001C40A2">
      <w:pPr>
        <w:pStyle w:val="ListParagraph"/>
        <w:numPr>
          <w:ilvl w:val="0"/>
          <w:numId w:val="49"/>
        </w:numPr>
        <w:rPr>
          <w:rFonts w:ascii="Arial" w:hAnsi="Arial" w:cs="Arial"/>
          <w:sz w:val="24"/>
          <w:szCs w:val="24"/>
          <w:lang w:val="en-GB"/>
        </w:rPr>
      </w:pPr>
      <w:r w:rsidRPr="0043352F">
        <w:rPr>
          <w:rFonts w:ascii="Arial" w:hAnsi="Arial" w:cs="Arial"/>
          <w:sz w:val="24"/>
          <w:szCs w:val="24"/>
          <w:lang w:val="en"/>
        </w:rPr>
        <w:t xml:space="preserve">What is the level of basic ICT skills in information and data literacy among the general population? </w:t>
      </w:r>
      <w:r w:rsidR="00F17255">
        <w:rPr>
          <w:rFonts w:ascii="Arial" w:hAnsi="Arial" w:cs="Arial"/>
          <w:sz w:val="24"/>
          <w:szCs w:val="24"/>
          <w:lang w:val="en-GB"/>
        </w:rPr>
        <w:t>Fuente</w:t>
      </w:r>
      <w:r w:rsidRPr="0043352F">
        <w:rPr>
          <w:rFonts w:ascii="Arial" w:hAnsi="Arial" w:cs="Arial"/>
          <w:sz w:val="24"/>
          <w:szCs w:val="24"/>
          <w:lang w:val="en"/>
        </w:rPr>
        <w:t>: ITU​</w:t>
      </w:r>
    </w:p>
    <w:p w14:paraId="4063B684" w14:textId="77777777" w:rsidR="001C40A2" w:rsidRPr="00596A57" w:rsidRDefault="001C40A2" w:rsidP="001C40A2">
      <w:pPr>
        <w:rPr>
          <w:rFonts w:ascii="Arial" w:hAnsi="Arial" w:cs="Arial"/>
          <w:sz w:val="24"/>
          <w:szCs w:val="24"/>
          <w:lang w:val="en"/>
        </w:rPr>
      </w:pPr>
    </w:p>
    <w:p w14:paraId="4C5DBA9F" w14:textId="77777777" w:rsidR="001C40A2" w:rsidRPr="0080409D" w:rsidRDefault="001C40A2" w:rsidP="001C40A2"/>
    <w:p w14:paraId="42CD4957" w14:textId="77777777" w:rsidR="001C40A2" w:rsidRPr="00796AA9" w:rsidRDefault="001C40A2" w:rsidP="001C40A2">
      <w:pPr>
        <w:rPr>
          <w:rFonts w:ascii="Arial" w:eastAsia="Arial" w:hAnsi="Arial" w:cs="Arial"/>
          <w:color w:val="000000" w:themeColor="text1"/>
          <w:highlight w:val="yellow"/>
        </w:rPr>
      </w:pPr>
    </w:p>
    <w:p w14:paraId="36FD4FEE" w14:textId="77777777" w:rsidR="001C40A2" w:rsidRPr="00370B71" w:rsidRDefault="001C40A2" w:rsidP="00370B71">
      <w:pPr>
        <w:spacing w:after="120" w:line="276" w:lineRule="auto"/>
        <w:rPr>
          <w:rFonts w:ascii="Arial" w:hAnsi="Arial" w:cs="Arial"/>
          <w:lang w:val="es-UY"/>
        </w:rPr>
      </w:pPr>
    </w:p>
    <w:p w14:paraId="0BFD17BB" w14:textId="77777777" w:rsidR="00370B71" w:rsidRPr="00370B71" w:rsidRDefault="00370B71" w:rsidP="00EC3C5F">
      <w:pPr>
        <w:spacing w:after="120" w:line="276" w:lineRule="auto"/>
        <w:rPr>
          <w:rFonts w:ascii="Arial" w:hAnsi="Arial" w:cs="Arial"/>
          <w:lang w:val="es-UY"/>
        </w:rPr>
      </w:pPr>
    </w:p>
    <w:sectPr w:rsidR="00370B71" w:rsidRPr="00370B71" w:rsidSect="00F50EF6">
      <w:footerReference w:type="default" r:id="rId14"/>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20B47" w14:textId="77777777" w:rsidR="001B211C" w:rsidRDefault="001B211C" w:rsidP="00201B2A">
      <w:pPr>
        <w:spacing w:after="0" w:line="240" w:lineRule="auto"/>
      </w:pPr>
      <w:r>
        <w:separator/>
      </w:r>
    </w:p>
  </w:endnote>
  <w:endnote w:type="continuationSeparator" w:id="0">
    <w:p w14:paraId="537CEC7C" w14:textId="77777777" w:rsidR="001B211C" w:rsidRDefault="001B211C" w:rsidP="00201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328438"/>
      <w:docPartObj>
        <w:docPartGallery w:val="Page Numbers (Bottom of Page)"/>
        <w:docPartUnique/>
      </w:docPartObj>
    </w:sdtPr>
    <w:sdtContent>
      <w:p w14:paraId="337426D9" w14:textId="356F59AB" w:rsidR="00F50EF6" w:rsidRDefault="00F50EF6">
        <w:pPr>
          <w:pStyle w:val="Footer"/>
          <w:jc w:val="right"/>
        </w:pPr>
        <w:r>
          <w:fldChar w:fldCharType="begin"/>
        </w:r>
        <w:r>
          <w:instrText>PAGE   \* MERGEFORMAT</w:instrText>
        </w:r>
        <w:r>
          <w:fldChar w:fldCharType="separate"/>
        </w:r>
        <w:r>
          <w:t>2</w:t>
        </w:r>
        <w:r>
          <w:fldChar w:fldCharType="end"/>
        </w:r>
      </w:p>
    </w:sdtContent>
  </w:sdt>
  <w:p w14:paraId="1578C6A9" w14:textId="77777777" w:rsidR="00F50EF6" w:rsidRDefault="00F50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42632" w14:textId="77777777" w:rsidR="001B211C" w:rsidRDefault="001B211C" w:rsidP="00201B2A">
      <w:pPr>
        <w:spacing w:after="0" w:line="240" w:lineRule="auto"/>
      </w:pPr>
      <w:r>
        <w:separator/>
      </w:r>
    </w:p>
  </w:footnote>
  <w:footnote w:type="continuationSeparator" w:id="0">
    <w:p w14:paraId="1A9A998F" w14:textId="77777777" w:rsidR="001B211C" w:rsidRDefault="001B211C" w:rsidP="00201B2A">
      <w:pPr>
        <w:spacing w:after="0" w:line="240" w:lineRule="auto"/>
      </w:pPr>
      <w:r>
        <w:continuationSeparator/>
      </w:r>
    </w:p>
  </w:footnote>
  <w:footnote w:id="1">
    <w:p w14:paraId="3AE66F98" w14:textId="4E922EAD" w:rsidR="00201B2A" w:rsidRPr="008962CE" w:rsidRDefault="00201B2A" w:rsidP="00201B2A">
      <w:pPr>
        <w:pStyle w:val="FootnoteText"/>
      </w:pPr>
      <w:r w:rsidRPr="008962CE">
        <w:rPr>
          <w:rStyle w:val="FootnoteReference"/>
        </w:rPr>
        <w:footnoteRef/>
      </w:r>
      <w:r w:rsidRPr="008962CE">
        <w:t xml:space="preserve"> </w:t>
      </w:r>
      <w:r w:rsidR="008962CE" w:rsidRPr="008962CE">
        <w:rPr>
          <w:rFonts w:ascii="Arial" w:hAnsi="Arial" w:cs="Arial"/>
        </w:rPr>
        <w:t>Ver Anexo:</w:t>
      </w:r>
      <w:r w:rsidRPr="008962CE">
        <w:rPr>
          <w:rFonts w:ascii="Arial" w:hAnsi="Arial" w:cs="Arial"/>
        </w:rPr>
        <w:t xml:space="preserve"> </w:t>
      </w:r>
      <w:hyperlink w:anchor="_Definiciones_de_los" w:history="1">
        <w:r w:rsidRPr="008962CE">
          <w:rPr>
            <w:rStyle w:val="Hyperlink"/>
            <w:rFonts w:ascii="Arial" w:hAnsi="Arial" w:cs="Arial"/>
          </w:rPr>
          <w:t>Defini</w:t>
        </w:r>
        <w:r w:rsidR="008962CE" w:rsidRPr="008962CE">
          <w:rPr>
            <w:rStyle w:val="Hyperlink"/>
            <w:rFonts w:ascii="Arial" w:hAnsi="Arial" w:cs="Arial"/>
          </w:rPr>
          <w:t>ciones de Principios y Dimensiones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8D2"/>
    <w:multiLevelType w:val="multilevel"/>
    <w:tmpl w:val="3EFC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04C3E"/>
    <w:multiLevelType w:val="multilevel"/>
    <w:tmpl w:val="5696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37BF8"/>
    <w:multiLevelType w:val="multilevel"/>
    <w:tmpl w:val="74C65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61C7D"/>
    <w:multiLevelType w:val="hybridMultilevel"/>
    <w:tmpl w:val="17766A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617570F"/>
    <w:multiLevelType w:val="multilevel"/>
    <w:tmpl w:val="6230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31233"/>
    <w:multiLevelType w:val="multilevel"/>
    <w:tmpl w:val="D264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153B6"/>
    <w:multiLevelType w:val="multilevel"/>
    <w:tmpl w:val="7E2A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056F6"/>
    <w:multiLevelType w:val="multilevel"/>
    <w:tmpl w:val="D118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454E4"/>
    <w:multiLevelType w:val="multilevel"/>
    <w:tmpl w:val="106A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EE1215"/>
    <w:multiLevelType w:val="multilevel"/>
    <w:tmpl w:val="B3D0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55BCD"/>
    <w:multiLevelType w:val="multilevel"/>
    <w:tmpl w:val="3A52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9A2940"/>
    <w:multiLevelType w:val="hybridMultilevel"/>
    <w:tmpl w:val="8CC878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AF440AE"/>
    <w:multiLevelType w:val="multilevel"/>
    <w:tmpl w:val="217E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D87C9F"/>
    <w:multiLevelType w:val="multilevel"/>
    <w:tmpl w:val="7D1A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6D1C3C"/>
    <w:multiLevelType w:val="hybridMultilevel"/>
    <w:tmpl w:val="BEB4A4BE"/>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5" w15:restartNumberingAfterBreak="0">
    <w:nsid w:val="21AA3F3F"/>
    <w:multiLevelType w:val="multilevel"/>
    <w:tmpl w:val="3DE8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130550"/>
    <w:multiLevelType w:val="hybridMultilevel"/>
    <w:tmpl w:val="37B8FBFC"/>
    <w:lvl w:ilvl="0" w:tplc="EA9A9296">
      <w:start w:val="1"/>
      <w:numFmt w:val="bullet"/>
      <w:lvlText w:val="ü"/>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9612EFE"/>
    <w:multiLevelType w:val="multilevel"/>
    <w:tmpl w:val="FAF0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FA661B"/>
    <w:multiLevelType w:val="hybridMultilevel"/>
    <w:tmpl w:val="9A86B324"/>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9" w15:restartNumberingAfterBreak="0">
    <w:nsid w:val="2FA211E6"/>
    <w:multiLevelType w:val="multilevel"/>
    <w:tmpl w:val="8E4C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B23D78"/>
    <w:multiLevelType w:val="multilevel"/>
    <w:tmpl w:val="A732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D730A5"/>
    <w:multiLevelType w:val="multilevel"/>
    <w:tmpl w:val="B230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CA16E5"/>
    <w:multiLevelType w:val="multilevel"/>
    <w:tmpl w:val="F75A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9A6D8B"/>
    <w:multiLevelType w:val="multilevel"/>
    <w:tmpl w:val="8B46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477C8E"/>
    <w:multiLevelType w:val="multilevel"/>
    <w:tmpl w:val="3FDE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6A6ABB"/>
    <w:multiLevelType w:val="hybridMultilevel"/>
    <w:tmpl w:val="CD583BC6"/>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08F6C91"/>
    <w:multiLevelType w:val="multilevel"/>
    <w:tmpl w:val="9DB84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2573C92"/>
    <w:multiLevelType w:val="multilevel"/>
    <w:tmpl w:val="BB0C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C07765"/>
    <w:multiLevelType w:val="hybridMultilevel"/>
    <w:tmpl w:val="712634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9D10C81"/>
    <w:multiLevelType w:val="multilevel"/>
    <w:tmpl w:val="A30A56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CC85F31"/>
    <w:multiLevelType w:val="multilevel"/>
    <w:tmpl w:val="3DF4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E810A7"/>
    <w:multiLevelType w:val="multilevel"/>
    <w:tmpl w:val="0ABA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9D6028"/>
    <w:multiLevelType w:val="multilevel"/>
    <w:tmpl w:val="2D822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0F22547"/>
    <w:multiLevelType w:val="multilevel"/>
    <w:tmpl w:val="B5D0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155EA0"/>
    <w:multiLevelType w:val="multilevel"/>
    <w:tmpl w:val="F762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CB2543"/>
    <w:multiLevelType w:val="multilevel"/>
    <w:tmpl w:val="6730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E053E1"/>
    <w:multiLevelType w:val="hybridMultilevel"/>
    <w:tmpl w:val="618E1A68"/>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37" w15:restartNumberingAfterBreak="0">
    <w:nsid w:val="5D17796F"/>
    <w:multiLevelType w:val="hybridMultilevel"/>
    <w:tmpl w:val="AA340CF8"/>
    <w:lvl w:ilvl="0" w:tplc="4704C24E">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26C0E65"/>
    <w:multiLevelType w:val="hybridMultilevel"/>
    <w:tmpl w:val="E700A3DC"/>
    <w:lvl w:ilvl="0" w:tplc="EA9A9296">
      <w:start w:val="1"/>
      <w:numFmt w:val="bullet"/>
      <w:lvlText w:val="ü"/>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8875C00"/>
    <w:multiLevelType w:val="multilevel"/>
    <w:tmpl w:val="74F4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9BE65BD"/>
    <w:multiLevelType w:val="multilevel"/>
    <w:tmpl w:val="8EAC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B84A04"/>
    <w:multiLevelType w:val="multilevel"/>
    <w:tmpl w:val="673C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4E2028"/>
    <w:multiLevelType w:val="hybridMultilevel"/>
    <w:tmpl w:val="CC2A2610"/>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43" w15:restartNumberingAfterBreak="0">
    <w:nsid w:val="6F071C51"/>
    <w:multiLevelType w:val="multilevel"/>
    <w:tmpl w:val="329C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481250"/>
    <w:multiLevelType w:val="multilevel"/>
    <w:tmpl w:val="87F4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64549C"/>
    <w:multiLevelType w:val="multilevel"/>
    <w:tmpl w:val="45AE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625780"/>
    <w:multiLevelType w:val="multilevel"/>
    <w:tmpl w:val="13CE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6A0F89"/>
    <w:multiLevelType w:val="multilevel"/>
    <w:tmpl w:val="6052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081BD8"/>
    <w:multiLevelType w:val="hybridMultilevel"/>
    <w:tmpl w:val="80E8A63C"/>
    <w:lvl w:ilvl="0" w:tplc="D8D8877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76624314">
    <w:abstractNumId w:val="26"/>
  </w:num>
  <w:num w:numId="2" w16cid:durableId="2073694852">
    <w:abstractNumId w:val="11"/>
  </w:num>
  <w:num w:numId="3" w16cid:durableId="1384210211">
    <w:abstractNumId w:val="21"/>
  </w:num>
  <w:num w:numId="4" w16cid:durableId="159349681">
    <w:abstractNumId w:val="6"/>
  </w:num>
  <w:num w:numId="5" w16cid:durableId="696928638">
    <w:abstractNumId w:val="16"/>
  </w:num>
  <w:num w:numId="6" w16cid:durableId="383867617">
    <w:abstractNumId w:val="0"/>
  </w:num>
  <w:num w:numId="7" w16cid:durableId="1218466983">
    <w:abstractNumId w:val="23"/>
  </w:num>
  <w:num w:numId="8" w16cid:durableId="2063290986">
    <w:abstractNumId w:val="32"/>
  </w:num>
  <w:num w:numId="9" w16cid:durableId="697393832">
    <w:abstractNumId w:val="44"/>
  </w:num>
  <w:num w:numId="10" w16cid:durableId="874543929">
    <w:abstractNumId w:val="4"/>
  </w:num>
  <w:num w:numId="11" w16cid:durableId="1927499836">
    <w:abstractNumId w:val="9"/>
  </w:num>
  <w:num w:numId="12" w16cid:durableId="1449079854">
    <w:abstractNumId w:val="41"/>
  </w:num>
  <w:num w:numId="13" w16cid:durableId="1241331591">
    <w:abstractNumId w:val="38"/>
  </w:num>
  <w:num w:numId="14" w16cid:durableId="1698002387">
    <w:abstractNumId w:val="25"/>
  </w:num>
  <w:num w:numId="15" w16cid:durableId="1904558085">
    <w:abstractNumId w:val="28"/>
  </w:num>
  <w:num w:numId="16" w16cid:durableId="1966737303">
    <w:abstractNumId w:val="48"/>
  </w:num>
  <w:num w:numId="17" w16cid:durableId="1361200415">
    <w:abstractNumId w:val="3"/>
  </w:num>
  <w:num w:numId="18" w16cid:durableId="508060492">
    <w:abstractNumId w:val="37"/>
  </w:num>
  <w:num w:numId="19" w16cid:durableId="514074010">
    <w:abstractNumId w:val="13"/>
  </w:num>
  <w:num w:numId="20" w16cid:durableId="1866404178">
    <w:abstractNumId w:val="22"/>
  </w:num>
  <w:num w:numId="21" w16cid:durableId="1202476362">
    <w:abstractNumId w:val="12"/>
  </w:num>
  <w:num w:numId="22" w16cid:durableId="1842811254">
    <w:abstractNumId w:val="30"/>
  </w:num>
  <w:num w:numId="23" w16cid:durableId="1248267821">
    <w:abstractNumId w:val="15"/>
  </w:num>
  <w:num w:numId="24" w16cid:durableId="1073357828">
    <w:abstractNumId w:val="5"/>
  </w:num>
  <w:num w:numId="25" w16cid:durableId="984428717">
    <w:abstractNumId w:val="35"/>
  </w:num>
  <w:num w:numId="26" w16cid:durableId="1193806040">
    <w:abstractNumId w:val="17"/>
  </w:num>
  <w:num w:numId="27" w16cid:durableId="1970550106">
    <w:abstractNumId w:val="47"/>
  </w:num>
  <w:num w:numId="28" w16cid:durableId="1715226189">
    <w:abstractNumId w:val="8"/>
  </w:num>
  <w:num w:numId="29" w16cid:durableId="1353919315">
    <w:abstractNumId w:val="24"/>
  </w:num>
  <w:num w:numId="30" w16cid:durableId="912743163">
    <w:abstractNumId w:val="33"/>
  </w:num>
  <w:num w:numId="31" w16cid:durableId="472255277">
    <w:abstractNumId w:val="7"/>
  </w:num>
  <w:num w:numId="32" w16cid:durableId="1671299529">
    <w:abstractNumId w:val="40"/>
  </w:num>
  <w:num w:numId="33" w16cid:durableId="310600906">
    <w:abstractNumId w:val="20"/>
  </w:num>
  <w:num w:numId="34" w16cid:durableId="43794098">
    <w:abstractNumId w:val="2"/>
  </w:num>
  <w:num w:numId="35" w16cid:durableId="1904871519">
    <w:abstractNumId w:val="31"/>
  </w:num>
  <w:num w:numId="36" w16cid:durableId="359355888">
    <w:abstractNumId w:val="19"/>
  </w:num>
  <w:num w:numId="37" w16cid:durableId="967588053">
    <w:abstractNumId w:val="46"/>
  </w:num>
  <w:num w:numId="38" w16cid:durableId="684599826">
    <w:abstractNumId w:val="1"/>
  </w:num>
  <w:num w:numId="39" w16cid:durableId="46729976">
    <w:abstractNumId w:val="45"/>
  </w:num>
  <w:num w:numId="40" w16cid:durableId="713622243">
    <w:abstractNumId w:val="43"/>
  </w:num>
  <w:num w:numId="41" w16cid:durableId="230703330">
    <w:abstractNumId w:val="42"/>
  </w:num>
  <w:num w:numId="42" w16cid:durableId="233047131">
    <w:abstractNumId w:val="39"/>
  </w:num>
  <w:num w:numId="43" w16cid:durableId="1735739708">
    <w:abstractNumId w:val="34"/>
  </w:num>
  <w:num w:numId="44" w16cid:durableId="214047839">
    <w:abstractNumId w:val="27"/>
  </w:num>
  <w:num w:numId="45" w16cid:durableId="394084491">
    <w:abstractNumId w:val="10"/>
  </w:num>
  <w:num w:numId="46" w16cid:durableId="1291403012">
    <w:abstractNumId w:val="18"/>
  </w:num>
  <w:num w:numId="47" w16cid:durableId="288050654">
    <w:abstractNumId w:val="29"/>
  </w:num>
  <w:num w:numId="48" w16cid:durableId="2028368135">
    <w:abstractNumId w:val="36"/>
  </w:num>
  <w:num w:numId="49" w16cid:durableId="79512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4D"/>
    <w:rsid w:val="00006A76"/>
    <w:rsid w:val="00027D25"/>
    <w:rsid w:val="0009565A"/>
    <w:rsid w:val="000F2613"/>
    <w:rsid w:val="00101189"/>
    <w:rsid w:val="00110F41"/>
    <w:rsid w:val="00126BFC"/>
    <w:rsid w:val="00181689"/>
    <w:rsid w:val="001A61F0"/>
    <w:rsid w:val="001B1D70"/>
    <w:rsid w:val="001B211C"/>
    <w:rsid w:val="001C40A2"/>
    <w:rsid w:val="001D77CF"/>
    <w:rsid w:val="001E614D"/>
    <w:rsid w:val="00201B2A"/>
    <w:rsid w:val="00212756"/>
    <w:rsid w:val="0021298C"/>
    <w:rsid w:val="00241F51"/>
    <w:rsid w:val="00266C8C"/>
    <w:rsid w:val="002762C1"/>
    <w:rsid w:val="002C3E43"/>
    <w:rsid w:val="002D4F79"/>
    <w:rsid w:val="002D5373"/>
    <w:rsid w:val="002D6D55"/>
    <w:rsid w:val="00312780"/>
    <w:rsid w:val="00313600"/>
    <w:rsid w:val="00342377"/>
    <w:rsid w:val="00370B71"/>
    <w:rsid w:val="003A20A2"/>
    <w:rsid w:val="003C7E29"/>
    <w:rsid w:val="003D2B1D"/>
    <w:rsid w:val="003E0116"/>
    <w:rsid w:val="003F79C1"/>
    <w:rsid w:val="004366C6"/>
    <w:rsid w:val="00465006"/>
    <w:rsid w:val="004753C3"/>
    <w:rsid w:val="004819A0"/>
    <w:rsid w:val="00486F5D"/>
    <w:rsid w:val="00495E86"/>
    <w:rsid w:val="004A51DF"/>
    <w:rsid w:val="004A7E84"/>
    <w:rsid w:val="004B47F2"/>
    <w:rsid w:val="005040D4"/>
    <w:rsid w:val="00520F70"/>
    <w:rsid w:val="005565EF"/>
    <w:rsid w:val="00566276"/>
    <w:rsid w:val="005830B4"/>
    <w:rsid w:val="005B5328"/>
    <w:rsid w:val="005C4AEB"/>
    <w:rsid w:val="005E3B02"/>
    <w:rsid w:val="006013E5"/>
    <w:rsid w:val="00603D1A"/>
    <w:rsid w:val="00610E0E"/>
    <w:rsid w:val="00625266"/>
    <w:rsid w:val="00632C2B"/>
    <w:rsid w:val="00634EFF"/>
    <w:rsid w:val="006351B5"/>
    <w:rsid w:val="006373D5"/>
    <w:rsid w:val="006875D1"/>
    <w:rsid w:val="006905BE"/>
    <w:rsid w:val="006A005F"/>
    <w:rsid w:val="006A75BB"/>
    <w:rsid w:val="006D6A13"/>
    <w:rsid w:val="006E43C2"/>
    <w:rsid w:val="006F3B13"/>
    <w:rsid w:val="00710515"/>
    <w:rsid w:val="00736F59"/>
    <w:rsid w:val="00752F08"/>
    <w:rsid w:val="00784B19"/>
    <w:rsid w:val="007D4989"/>
    <w:rsid w:val="007F3FBA"/>
    <w:rsid w:val="0087349E"/>
    <w:rsid w:val="008962CE"/>
    <w:rsid w:val="008C5CB1"/>
    <w:rsid w:val="008D5A09"/>
    <w:rsid w:val="00904EEF"/>
    <w:rsid w:val="00952066"/>
    <w:rsid w:val="00956C2B"/>
    <w:rsid w:val="0096122D"/>
    <w:rsid w:val="00961385"/>
    <w:rsid w:val="00967AFF"/>
    <w:rsid w:val="009762AC"/>
    <w:rsid w:val="0098494B"/>
    <w:rsid w:val="009A179F"/>
    <w:rsid w:val="009B0F1D"/>
    <w:rsid w:val="009B4B88"/>
    <w:rsid w:val="009C0A96"/>
    <w:rsid w:val="009C38C6"/>
    <w:rsid w:val="00A02AE8"/>
    <w:rsid w:val="00A35376"/>
    <w:rsid w:val="00A45798"/>
    <w:rsid w:val="00A533DA"/>
    <w:rsid w:val="00A77AE4"/>
    <w:rsid w:val="00A90AC6"/>
    <w:rsid w:val="00AD017F"/>
    <w:rsid w:val="00AE0BA0"/>
    <w:rsid w:val="00AF0A2E"/>
    <w:rsid w:val="00AF28B3"/>
    <w:rsid w:val="00B0199F"/>
    <w:rsid w:val="00B14374"/>
    <w:rsid w:val="00B20246"/>
    <w:rsid w:val="00B340D6"/>
    <w:rsid w:val="00B407B8"/>
    <w:rsid w:val="00B44C58"/>
    <w:rsid w:val="00B45CEF"/>
    <w:rsid w:val="00B96F47"/>
    <w:rsid w:val="00BB514D"/>
    <w:rsid w:val="00C00EF8"/>
    <w:rsid w:val="00C10905"/>
    <w:rsid w:val="00C31D46"/>
    <w:rsid w:val="00C3296C"/>
    <w:rsid w:val="00C35D35"/>
    <w:rsid w:val="00C36B93"/>
    <w:rsid w:val="00C468A6"/>
    <w:rsid w:val="00C55B6A"/>
    <w:rsid w:val="00C674BD"/>
    <w:rsid w:val="00C73005"/>
    <w:rsid w:val="00C94DBC"/>
    <w:rsid w:val="00D060C8"/>
    <w:rsid w:val="00D1233B"/>
    <w:rsid w:val="00D12804"/>
    <w:rsid w:val="00D56C9C"/>
    <w:rsid w:val="00D806DC"/>
    <w:rsid w:val="00D95F36"/>
    <w:rsid w:val="00D971C8"/>
    <w:rsid w:val="00DD0F15"/>
    <w:rsid w:val="00DE1B16"/>
    <w:rsid w:val="00DE623D"/>
    <w:rsid w:val="00E029D4"/>
    <w:rsid w:val="00E14EDF"/>
    <w:rsid w:val="00E43D09"/>
    <w:rsid w:val="00E503E1"/>
    <w:rsid w:val="00E83CD4"/>
    <w:rsid w:val="00EC3C5F"/>
    <w:rsid w:val="00F02FC3"/>
    <w:rsid w:val="00F17255"/>
    <w:rsid w:val="00F44E78"/>
    <w:rsid w:val="00F46653"/>
    <w:rsid w:val="00F50EF6"/>
    <w:rsid w:val="00F7218A"/>
    <w:rsid w:val="00F94183"/>
    <w:rsid w:val="00FD40FE"/>
    <w:rsid w:val="00FD6BEF"/>
    <w:rsid w:val="00FE37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19C73"/>
  <w15:chartTrackingRefBased/>
  <w15:docId w15:val="{F6058EF5-7D92-4415-97B5-3BD464B66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1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C3E43"/>
    <w:pPr>
      <w:keepNext/>
      <w:keepLines/>
      <w:spacing w:before="160" w:after="80"/>
      <w:outlineLvl w:val="1"/>
    </w:pPr>
    <w:rPr>
      <w:rFonts w:ascii="Aptos" w:eastAsiaTheme="majorEastAsia" w:hAnsi="Aptos" w:cstheme="majorBidi"/>
      <w:b/>
      <w:color w:val="2F5496" w:themeColor="accent1" w:themeShade="BF"/>
      <w:sz w:val="32"/>
      <w:szCs w:val="32"/>
    </w:rPr>
  </w:style>
  <w:style w:type="paragraph" w:styleId="Heading3">
    <w:name w:val="heading 3"/>
    <w:basedOn w:val="Normal"/>
    <w:next w:val="Normal"/>
    <w:link w:val="Heading3Char"/>
    <w:uiPriority w:val="9"/>
    <w:unhideWhenUsed/>
    <w:qFormat/>
    <w:rsid w:val="001E61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61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61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61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1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1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1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1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C3E43"/>
    <w:rPr>
      <w:rFonts w:ascii="Aptos" w:eastAsiaTheme="majorEastAsia" w:hAnsi="Aptos" w:cstheme="majorBidi"/>
      <w:b/>
      <w:color w:val="2F5496" w:themeColor="accent1" w:themeShade="BF"/>
      <w:sz w:val="32"/>
      <w:szCs w:val="32"/>
    </w:rPr>
  </w:style>
  <w:style w:type="character" w:customStyle="1" w:styleId="Heading3Char">
    <w:name w:val="Heading 3 Char"/>
    <w:basedOn w:val="DefaultParagraphFont"/>
    <w:link w:val="Heading3"/>
    <w:uiPriority w:val="9"/>
    <w:rsid w:val="001E61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61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61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61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1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1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14D"/>
    <w:rPr>
      <w:rFonts w:eastAsiaTheme="majorEastAsia" w:cstheme="majorBidi"/>
      <w:color w:val="272727" w:themeColor="text1" w:themeTint="D8"/>
    </w:rPr>
  </w:style>
  <w:style w:type="paragraph" w:styleId="Title">
    <w:name w:val="Title"/>
    <w:basedOn w:val="Normal"/>
    <w:next w:val="Normal"/>
    <w:link w:val="TitleChar"/>
    <w:uiPriority w:val="10"/>
    <w:qFormat/>
    <w:rsid w:val="001E61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1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1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1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14D"/>
    <w:pPr>
      <w:spacing w:before="160"/>
      <w:jc w:val="center"/>
    </w:pPr>
    <w:rPr>
      <w:i/>
      <w:iCs/>
      <w:color w:val="404040" w:themeColor="text1" w:themeTint="BF"/>
    </w:rPr>
  </w:style>
  <w:style w:type="character" w:customStyle="1" w:styleId="QuoteChar">
    <w:name w:val="Quote Char"/>
    <w:basedOn w:val="DefaultParagraphFont"/>
    <w:link w:val="Quote"/>
    <w:uiPriority w:val="29"/>
    <w:rsid w:val="001E614D"/>
    <w:rPr>
      <w:i/>
      <w:iCs/>
      <w:color w:val="404040" w:themeColor="text1" w:themeTint="BF"/>
    </w:rPr>
  </w:style>
  <w:style w:type="paragraph" w:styleId="ListParagraph">
    <w:name w:val="List Paragraph"/>
    <w:basedOn w:val="Normal"/>
    <w:uiPriority w:val="34"/>
    <w:qFormat/>
    <w:rsid w:val="001E614D"/>
    <w:pPr>
      <w:ind w:left="720"/>
      <w:contextualSpacing/>
    </w:pPr>
  </w:style>
  <w:style w:type="character" w:styleId="IntenseEmphasis">
    <w:name w:val="Intense Emphasis"/>
    <w:basedOn w:val="DefaultParagraphFont"/>
    <w:uiPriority w:val="21"/>
    <w:qFormat/>
    <w:rsid w:val="001E614D"/>
    <w:rPr>
      <w:i/>
      <w:iCs/>
      <w:color w:val="2F5496" w:themeColor="accent1" w:themeShade="BF"/>
    </w:rPr>
  </w:style>
  <w:style w:type="paragraph" w:styleId="IntenseQuote">
    <w:name w:val="Intense Quote"/>
    <w:basedOn w:val="Normal"/>
    <w:next w:val="Normal"/>
    <w:link w:val="IntenseQuoteChar"/>
    <w:uiPriority w:val="30"/>
    <w:qFormat/>
    <w:rsid w:val="001E61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614D"/>
    <w:rPr>
      <w:i/>
      <w:iCs/>
      <w:color w:val="2F5496" w:themeColor="accent1" w:themeShade="BF"/>
    </w:rPr>
  </w:style>
  <w:style w:type="character" w:styleId="IntenseReference">
    <w:name w:val="Intense Reference"/>
    <w:basedOn w:val="DefaultParagraphFont"/>
    <w:uiPriority w:val="32"/>
    <w:qFormat/>
    <w:rsid w:val="001E614D"/>
    <w:rPr>
      <w:b/>
      <w:bCs/>
      <w:smallCaps/>
      <w:color w:val="2F5496" w:themeColor="accent1" w:themeShade="BF"/>
      <w:spacing w:val="5"/>
    </w:rPr>
  </w:style>
  <w:style w:type="paragraph" w:styleId="FootnoteText">
    <w:name w:val="footnote text"/>
    <w:basedOn w:val="Normal"/>
    <w:link w:val="FootnoteTextChar"/>
    <w:uiPriority w:val="99"/>
    <w:semiHidden/>
    <w:unhideWhenUsed/>
    <w:rsid w:val="00201B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1B2A"/>
    <w:rPr>
      <w:sz w:val="20"/>
      <w:szCs w:val="20"/>
    </w:rPr>
  </w:style>
  <w:style w:type="character" w:styleId="FootnoteReference">
    <w:name w:val="footnote reference"/>
    <w:basedOn w:val="DefaultParagraphFont"/>
    <w:uiPriority w:val="99"/>
    <w:semiHidden/>
    <w:unhideWhenUsed/>
    <w:rsid w:val="00201B2A"/>
    <w:rPr>
      <w:vertAlign w:val="superscript"/>
    </w:rPr>
  </w:style>
  <w:style w:type="character" w:styleId="Hyperlink">
    <w:name w:val="Hyperlink"/>
    <w:basedOn w:val="DefaultParagraphFont"/>
    <w:uiPriority w:val="99"/>
    <w:unhideWhenUsed/>
    <w:rsid w:val="00201B2A"/>
    <w:rPr>
      <w:color w:val="467886"/>
      <w:u w:val="single"/>
    </w:rPr>
  </w:style>
  <w:style w:type="character" w:styleId="FollowedHyperlink">
    <w:name w:val="FollowedHyperlink"/>
    <w:basedOn w:val="DefaultParagraphFont"/>
    <w:uiPriority w:val="99"/>
    <w:semiHidden/>
    <w:unhideWhenUsed/>
    <w:rsid w:val="00201B2A"/>
    <w:rPr>
      <w:color w:val="954F72" w:themeColor="followedHyperlink"/>
      <w:u w:val="single"/>
    </w:rPr>
  </w:style>
  <w:style w:type="character" w:styleId="CommentReference">
    <w:name w:val="annotation reference"/>
    <w:basedOn w:val="DefaultParagraphFont"/>
    <w:uiPriority w:val="99"/>
    <w:semiHidden/>
    <w:unhideWhenUsed/>
    <w:rsid w:val="005B5328"/>
    <w:rPr>
      <w:sz w:val="16"/>
      <w:szCs w:val="16"/>
    </w:rPr>
  </w:style>
  <w:style w:type="paragraph" w:styleId="CommentText">
    <w:name w:val="annotation text"/>
    <w:basedOn w:val="Normal"/>
    <w:link w:val="CommentTextChar"/>
    <w:uiPriority w:val="99"/>
    <w:semiHidden/>
    <w:unhideWhenUsed/>
    <w:rsid w:val="005B5328"/>
    <w:pPr>
      <w:spacing w:line="240" w:lineRule="auto"/>
    </w:pPr>
    <w:rPr>
      <w:sz w:val="20"/>
      <w:szCs w:val="20"/>
    </w:rPr>
  </w:style>
  <w:style w:type="character" w:customStyle="1" w:styleId="CommentTextChar">
    <w:name w:val="Comment Text Char"/>
    <w:basedOn w:val="DefaultParagraphFont"/>
    <w:link w:val="CommentText"/>
    <w:uiPriority w:val="99"/>
    <w:semiHidden/>
    <w:rsid w:val="005B5328"/>
    <w:rPr>
      <w:sz w:val="20"/>
      <w:szCs w:val="20"/>
    </w:rPr>
  </w:style>
  <w:style w:type="paragraph" w:styleId="CommentSubject">
    <w:name w:val="annotation subject"/>
    <w:basedOn w:val="CommentText"/>
    <w:next w:val="CommentText"/>
    <w:link w:val="CommentSubjectChar"/>
    <w:uiPriority w:val="99"/>
    <w:semiHidden/>
    <w:unhideWhenUsed/>
    <w:rsid w:val="005B5328"/>
    <w:rPr>
      <w:b/>
      <w:bCs/>
    </w:rPr>
  </w:style>
  <w:style w:type="character" w:customStyle="1" w:styleId="CommentSubjectChar">
    <w:name w:val="Comment Subject Char"/>
    <w:basedOn w:val="CommentTextChar"/>
    <w:link w:val="CommentSubject"/>
    <w:uiPriority w:val="99"/>
    <w:semiHidden/>
    <w:rsid w:val="005B5328"/>
    <w:rPr>
      <w:b/>
      <w:bCs/>
      <w:sz w:val="20"/>
      <w:szCs w:val="20"/>
    </w:rPr>
  </w:style>
  <w:style w:type="table" w:styleId="TableGrid">
    <w:name w:val="Table Grid"/>
    <w:basedOn w:val="TableNormal"/>
    <w:uiPriority w:val="39"/>
    <w:rsid w:val="00A90AC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623D"/>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Strong">
    <w:name w:val="Strong"/>
    <w:basedOn w:val="DefaultParagraphFont"/>
    <w:uiPriority w:val="22"/>
    <w:qFormat/>
    <w:rsid w:val="00DE623D"/>
    <w:rPr>
      <w:b/>
      <w:bCs/>
    </w:rPr>
  </w:style>
  <w:style w:type="paragraph" w:styleId="Revision">
    <w:name w:val="Revision"/>
    <w:hidden/>
    <w:uiPriority w:val="99"/>
    <w:semiHidden/>
    <w:rsid w:val="00520F70"/>
    <w:pPr>
      <w:spacing w:after="0" w:line="240" w:lineRule="auto"/>
    </w:pPr>
  </w:style>
  <w:style w:type="paragraph" w:styleId="TOCHeading">
    <w:name w:val="TOC Heading"/>
    <w:basedOn w:val="Heading1"/>
    <w:next w:val="Normal"/>
    <w:uiPriority w:val="39"/>
    <w:unhideWhenUsed/>
    <w:qFormat/>
    <w:rsid w:val="00F50EF6"/>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F50EF6"/>
    <w:pPr>
      <w:spacing w:after="100"/>
      <w:ind w:left="220"/>
    </w:pPr>
  </w:style>
  <w:style w:type="paragraph" w:styleId="TOC3">
    <w:name w:val="toc 3"/>
    <w:basedOn w:val="Normal"/>
    <w:next w:val="Normal"/>
    <w:autoRedefine/>
    <w:uiPriority w:val="39"/>
    <w:unhideWhenUsed/>
    <w:rsid w:val="00F50EF6"/>
    <w:pPr>
      <w:spacing w:after="100"/>
      <w:ind w:left="440"/>
    </w:pPr>
  </w:style>
  <w:style w:type="paragraph" w:styleId="Header">
    <w:name w:val="header"/>
    <w:basedOn w:val="Normal"/>
    <w:link w:val="HeaderChar"/>
    <w:uiPriority w:val="99"/>
    <w:unhideWhenUsed/>
    <w:rsid w:val="00F50EF6"/>
    <w:pPr>
      <w:tabs>
        <w:tab w:val="center" w:pos="4252"/>
        <w:tab w:val="right" w:pos="8504"/>
      </w:tabs>
      <w:spacing w:after="0" w:line="240" w:lineRule="auto"/>
    </w:pPr>
  </w:style>
  <w:style w:type="character" w:customStyle="1" w:styleId="HeaderChar">
    <w:name w:val="Header Char"/>
    <w:basedOn w:val="DefaultParagraphFont"/>
    <w:link w:val="Header"/>
    <w:uiPriority w:val="99"/>
    <w:rsid w:val="00F50EF6"/>
  </w:style>
  <w:style w:type="paragraph" w:styleId="Footer">
    <w:name w:val="footer"/>
    <w:basedOn w:val="Normal"/>
    <w:link w:val="FooterChar"/>
    <w:uiPriority w:val="99"/>
    <w:unhideWhenUsed/>
    <w:rsid w:val="00F50EF6"/>
    <w:pPr>
      <w:tabs>
        <w:tab w:val="center" w:pos="4252"/>
        <w:tab w:val="right" w:pos="8504"/>
      </w:tabs>
      <w:spacing w:after="0" w:line="240" w:lineRule="auto"/>
    </w:pPr>
  </w:style>
  <w:style w:type="character" w:customStyle="1" w:styleId="FooterChar">
    <w:name w:val="Footer Char"/>
    <w:basedOn w:val="DefaultParagraphFont"/>
    <w:link w:val="Footer"/>
    <w:uiPriority w:val="99"/>
    <w:rsid w:val="00F50EF6"/>
  </w:style>
  <w:style w:type="character" w:styleId="UnresolvedMention">
    <w:name w:val="Unresolved Mention"/>
    <w:basedOn w:val="DefaultParagraphFont"/>
    <w:uiPriority w:val="99"/>
    <w:semiHidden/>
    <w:unhideWhenUsed/>
    <w:rsid w:val="008962CE"/>
    <w:rPr>
      <w:color w:val="605E5C"/>
      <w:shd w:val="clear" w:color="auto" w:fill="E1DFDD"/>
    </w:rPr>
  </w:style>
  <w:style w:type="paragraph" w:customStyle="1" w:styleId="paragraph">
    <w:name w:val="paragraph"/>
    <w:basedOn w:val="Normal"/>
    <w:rsid w:val="001C40A2"/>
    <w:pPr>
      <w:spacing w:beforeAutospacing="1"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1C40A2"/>
  </w:style>
  <w:style w:type="character" w:customStyle="1" w:styleId="eop">
    <w:name w:val="eop"/>
    <w:basedOn w:val="DefaultParagraphFont"/>
    <w:rsid w:val="001C40A2"/>
  </w:style>
  <w:style w:type="character" w:customStyle="1" w:styleId="contentcontrolboundarysink">
    <w:name w:val="contentcontrolboundarysink"/>
    <w:basedOn w:val="DefaultParagraphFont"/>
    <w:rsid w:val="001C4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7273">
      <w:bodyDiv w:val="1"/>
      <w:marLeft w:val="0"/>
      <w:marRight w:val="0"/>
      <w:marTop w:val="0"/>
      <w:marBottom w:val="0"/>
      <w:divBdr>
        <w:top w:val="none" w:sz="0" w:space="0" w:color="auto"/>
        <w:left w:val="none" w:sz="0" w:space="0" w:color="auto"/>
        <w:bottom w:val="none" w:sz="0" w:space="0" w:color="auto"/>
        <w:right w:val="none" w:sz="0" w:space="0" w:color="auto"/>
      </w:divBdr>
    </w:div>
    <w:div w:id="89401570">
      <w:bodyDiv w:val="1"/>
      <w:marLeft w:val="0"/>
      <w:marRight w:val="0"/>
      <w:marTop w:val="0"/>
      <w:marBottom w:val="0"/>
      <w:divBdr>
        <w:top w:val="none" w:sz="0" w:space="0" w:color="auto"/>
        <w:left w:val="none" w:sz="0" w:space="0" w:color="auto"/>
        <w:bottom w:val="none" w:sz="0" w:space="0" w:color="auto"/>
        <w:right w:val="none" w:sz="0" w:space="0" w:color="auto"/>
      </w:divBdr>
    </w:div>
    <w:div w:id="113910464">
      <w:bodyDiv w:val="1"/>
      <w:marLeft w:val="0"/>
      <w:marRight w:val="0"/>
      <w:marTop w:val="0"/>
      <w:marBottom w:val="0"/>
      <w:divBdr>
        <w:top w:val="none" w:sz="0" w:space="0" w:color="auto"/>
        <w:left w:val="none" w:sz="0" w:space="0" w:color="auto"/>
        <w:bottom w:val="none" w:sz="0" w:space="0" w:color="auto"/>
        <w:right w:val="none" w:sz="0" w:space="0" w:color="auto"/>
      </w:divBdr>
    </w:div>
    <w:div w:id="138807161">
      <w:bodyDiv w:val="1"/>
      <w:marLeft w:val="0"/>
      <w:marRight w:val="0"/>
      <w:marTop w:val="0"/>
      <w:marBottom w:val="0"/>
      <w:divBdr>
        <w:top w:val="none" w:sz="0" w:space="0" w:color="auto"/>
        <w:left w:val="none" w:sz="0" w:space="0" w:color="auto"/>
        <w:bottom w:val="none" w:sz="0" w:space="0" w:color="auto"/>
        <w:right w:val="none" w:sz="0" w:space="0" w:color="auto"/>
      </w:divBdr>
      <w:divsChild>
        <w:div w:id="174153071">
          <w:marLeft w:val="0"/>
          <w:marRight w:val="0"/>
          <w:marTop w:val="0"/>
          <w:marBottom w:val="0"/>
          <w:divBdr>
            <w:top w:val="none" w:sz="0" w:space="0" w:color="auto"/>
            <w:left w:val="none" w:sz="0" w:space="0" w:color="auto"/>
            <w:bottom w:val="none" w:sz="0" w:space="0" w:color="auto"/>
            <w:right w:val="none" w:sz="0" w:space="0" w:color="auto"/>
          </w:divBdr>
          <w:divsChild>
            <w:div w:id="543759693">
              <w:marLeft w:val="0"/>
              <w:marRight w:val="0"/>
              <w:marTop w:val="0"/>
              <w:marBottom w:val="0"/>
              <w:divBdr>
                <w:top w:val="none" w:sz="0" w:space="0" w:color="auto"/>
                <w:left w:val="none" w:sz="0" w:space="0" w:color="auto"/>
                <w:bottom w:val="none" w:sz="0" w:space="0" w:color="auto"/>
                <w:right w:val="none" w:sz="0" w:space="0" w:color="auto"/>
              </w:divBdr>
            </w:div>
            <w:div w:id="712076122">
              <w:marLeft w:val="0"/>
              <w:marRight w:val="0"/>
              <w:marTop w:val="0"/>
              <w:marBottom w:val="0"/>
              <w:divBdr>
                <w:top w:val="none" w:sz="0" w:space="0" w:color="auto"/>
                <w:left w:val="none" w:sz="0" w:space="0" w:color="auto"/>
                <w:bottom w:val="none" w:sz="0" w:space="0" w:color="auto"/>
                <w:right w:val="none" w:sz="0" w:space="0" w:color="auto"/>
              </w:divBdr>
            </w:div>
            <w:div w:id="1303122384">
              <w:marLeft w:val="0"/>
              <w:marRight w:val="0"/>
              <w:marTop w:val="0"/>
              <w:marBottom w:val="0"/>
              <w:divBdr>
                <w:top w:val="none" w:sz="0" w:space="0" w:color="auto"/>
                <w:left w:val="none" w:sz="0" w:space="0" w:color="auto"/>
                <w:bottom w:val="none" w:sz="0" w:space="0" w:color="auto"/>
                <w:right w:val="none" w:sz="0" w:space="0" w:color="auto"/>
              </w:divBdr>
              <w:divsChild>
                <w:div w:id="1895895714">
                  <w:marLeft w:val="0"/>
                  <w:marRight w:val="0"/>
                  <w:marTop w:val="0"/>
                  <w:marBottom w:val="0"/>
                  <w:divBdr>
                    <w:top w:val="none" w:sz="0" w:space="0" w:color="auto"/>
                    <w:left w:val="none" w:sz="0" w:space="0" w:color="auto"/>
                    <w:bottom w:val="none" w:sz="0" w:space="0" w:color="auto"/>
                    <w:right w:val="none" w:sz="0" w:space="0" w:color="auto"/>
                  </w:divBdr>
                  <w:divsChild>
                    <w:div w:id="834614579">
                      <w:marLeft w:val="0"/>
                      <w:marRight w:val="0"/>
                      <w:marTop w:val="0"/>
                      <w:marBottom w:val="0"/>
                      <w:divBdr>
                        <w:top w:val="none" w:sz="0" w:space="0" w:color="auto"/>
                        <w:left w:val="none" w:sz="0" w:space="0" w:color="auto"/>
                        <w:bottom w:val="none" w:sz="0" w:space="0" w:color="auto"/>
                        <w:right w:val="none" w:sz="0" w:space="0" w:color="auto"/>
                      </w:divBdr>
                      <w:divsChild>
                        <w:div w:id="21174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356346">
              <w:marLeft w:val="0"/>
              <w:marRight w:val="0"/>
              <w:marTop w:val="0"/>
              <w:marBottom w:val="0"/>
              <w:divBdr>
                <w:top w:val="none" w:sz="0" w:space="0" w:color="auto"/>
                <w:left w:val="none" w:sz="0" w:space="0" w:color="auto"/>
                <w:bottom w:val="none" w:sz="0" w:space="0" w:color="auto"/>
                <w:right w:val="none" w:sz="0" w:space="0" w:color="auto"/>
              </w:divBdr>
              <w:divsChild>
                <w:div w:id="152366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7209">
          <w:marLeft w:val="0"/>
          <w:marRight w:val="0"/>
          <w:marTop w:val="0"/>
          <w:marBottom w:val="0"/>
          <w:divBdr>
            <w:top w:val="none" w:sz="0" w:space="0" w:color="auto"/>
            <w:left w:val="none" w:sz="0" w:space="0" w:color="auto"/>
            <w:bottom w:val="none" w:sz="0" w:space="0" w:color="auto"/>
            <w:right w:val="none" w:sz="0" w:space="0" w:color="auto"/>
          </w:divBdr>
          <w:divsChild>
            <w:div w:id="2085714523">
              <w:marLeft w:val="0"/>
              <w:marRight w:val="0"/>
              <w:marTop w:val="0"/>
              <w:marBottom w:val="0"/>
              <w:divBdr>
                <w:top w:val="none" w:sz="0" w:space="0" w:color="auto"/>
                <w:left w:val="none" w:sz="0" w:space="0" w:color="auto"/>
                <w:bottom w:val="none" w:sz="0" w:space="0" w:color="auto"/>
                <w:right w:val="none" w:sz="0" w:space="0" w:color="auto"/>
              </w:divBdr>
              <w:divsChild>
                <w:div w:id="660472942">
                  <w:marLeft w:val="0"/>
                  <w:marRight w:val="0"/>
                  <w:marTop w:val="0"/>
                  <w:marBottom w:val="0"/>
                  <w:divBdr>
                    <w:top w:val="none" w:sz="0" w:space="0" w:color="auto"/>
                    <w:left w:val="none" w:sz="0" w:space="0" w:color="auto"/>
                    <w:bottom w:val="none" w:sz="0" w:space="0" w:color="auto"/>
                    <w:right w:val="none" w:sz="0" w:space="0" w:color="auto"/>
                  </w:divBdr>
                  <w:divsChild>
                    <w:div w:id="4779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100500">
      <w:bodyDiv w:val="1"/>
      <w:marLeft w:val="0"/>
      <w:marRight w:val="0"/>
      <w:marTop w:val="0"/>
      <w:marBottom w:val="0"/>
      <w:divBdr>
        <w:top w:val="none" w:sz="0" w:space="0" w:color="auto"/>
        <w:left w:val="none" w:sz="0" w:space="0" w:color="auto"/>
        <w:bottom w:val="none" w:sz="0" w:space="0" w:color="auto"/>
        <w:right w:val="none" w:sz="0" w:space="0" w:color="auto"/>
      </w:divBdr>
    </w:div>
    <w:div w:id="276572833">
      <w:bodyDiv w:val="1"/>
      <w:marLeft w:val="0"/>
      <w:marRight w:val="0"/>
      <w:marTop w:val="0"/>
      <w:marBottom w:val="0"/>
      <w:divBdr>
        <w:top w:val="none" w:sz="0" w:space="0" w:color="auto"/>
        <w:left w:val="none" w:sz="0" w:space="0" w:color="auto"/>
        <w:bottom w:val="none" w:sz="0" w:space="0" w:color="auto"/>
        <w:right w:val="none" w:sz="0" w:space="0" w:color="auto"/>
      </w:divBdr>
    </w:div>
    <w:div w:id="325330047">
      <w:bodyDiv w:val="1"/>
      <w:marLeft w:val="0"/>
      <w:marRight w:val="0"/>
      <w:marTop w:val="0"/>
      <w:marBottom w:val="0"/>
      <w:divBdr>
        <w:top w:val="none" w:sz="0" w:space="0" w:color="auto"/>
        <w:left w:val="none" w:sz="0" w:space="0" w:color="auto"/>
        <w:bottom w:val="none" w:sz="0" w:space="0" w:color="auto"/>
        <w:right w:val="none" w:sz="0" w:space="0" w:color="auto"/>
      </w:divBdr>
    </w:div>
    <w:div w:id="329407744">
      <w:bodyDiv w:val="1"/>
      <w:marLeft w:val="0"/>
      <w:marRight w:val="0"/>
      <w:marTop w:val="0"/>
      <w:marBottom w:val="0"/>
      <w:divBdr>
        <w:top w:val="none" w:sz="0" w:space="0" w:color="auto"/>
        <w:left w:val="none" w:sz="0" w:space="0" w:color="auto"/>
        <w:bottom w:val="none" w:sz="0" w:space="0" w:color="auto"/>
        <w:right w:val="none" w:sz="0" w:space="0" w:color="auto"/>
      </w:divBdr>
    </w:div>
    <w:div w:id="332223414">
      <w:bodyDiv w:val="1"/>
      <w:marLeft w:val="0"/>
      <w:marRight w:val="0"/>
      <w:marTop w:val="0"/>
      <w:marBottom w:val="0"/>
      <w:divBdr>
        <w:top w:val="none" w:sz="0" w:space="0" w:color="auto"/>
        <w:left w:val="none" w:sz="0" w:space="0" w:color="auto"/>
        <w:bottom w:val="none" w:sz="0" w:space="0" w:color="auto"/>
        <w:right w:val="none" w:sz="0" w:space="0" w:color="auto"/>
      </w:divBdr>
    </w:div>
    <w:div w:id="339236441">
      <w:bodyDiv w:val="1"/>
      <w:marLeft w:val="0"/>
      <w:marRight w:val="0"/>
      <w:marTop w:val="0"/>
      <w:marBottom w:val="0"/>
      <w:divBdr>
        <w:top w:val="none" w:sz="0" w:space="0" w:color="auto"/>
        <w:left w:val="none" w:sz="0" w:space="0" w:color="auto"/>
        <w:bottom w:val="none" w:sz="0" w:space="0" w:color="auto"/>
        <w:right w:val="none" w:sz="0" w:space="0" w:color="auto"/>
      </w:divBdr>
    </w:div>
    <w:div w:id="350957156">
      <w:bodyDiv w:val="1"/>
      <w:marLeft w:val="0"/>
      <w:marRight w:val="0"/>
      <w:marTop w:val="0"/>
      <w:marBottom w:val="0"/>
      <w:divBdr>
        <w:top w:val="none" w:sz="0" w:space="0" w:color="auto"/>
        <w:left w:val="none" w:sz="0" w:space="0" w:color="auto"/>
        <w:bottom w:val="none" w:sz="0" w:space="0" w:color="auto"/>
        <w:right w:val="none" w:sz="0" w:space="0" w:color="auto"/>
      </w:divBdr>
    </w:div>
    <w:div w:id="438987689">
      <w:bodyDiv w:val="1"/>
      <w:marLeft w:val="0"/>
      <w:marRight w:val="0"/>
      <w:marTop w:val="0"/>
      <w:marBottom w:val="0"/>
      <w:divBdr>
        <w:top w:val="none" w:sz="0" w:space="0" w:color="auto"/>
        <w:left w:val="none" w:sz="0" w:space="0" w:color="auto"/>
        <w:bottom w:val="none" w:sz="0" w:space="0" w:color="auto"/>
        <w:right w:val="none" w:sz="0" w:space="0" w:color="auto"/>
      </w:divBdr>
    </w:div>
    <w:div w:id="448158836">
      <w:bodyDiv w:val="1"/>
      <w:marLeft w:val="0"/>
      <w:marRight w:val="0"/>
      <w:marTop w:val="0"/>
      <w:marBottom w:val="0"/>
      <w:divBdr>
        <w:top w:val="none" w:sz="0" w:space="0" w:color="auto"/>
        <w:left w:val="none" w:sz="0" w:space="0" w:color="auto"/>
        <w:bottom w:val="none" w:sz="0" w:space="0" w:color="auto"/>
        <w:right w:val="none" w:sz="0" w:space="0" w:color="auto"/>
      </w:divBdr>
      <w:divsChild>
        <w:div w:id="1138184392">
          <w:marLeft w:val="0"/>
          <w:marRight w:val="0"/>
          <w:marTop w:val="0"/>
          <w:marBottom w:val="0"/>
          <w:divBdr>
            <w:top w:val="none" w:sz="0" w:space="0" w:color="auto"/>
            <w:left w:val="none" w:sz="0" w:space="0" w:color="auto"/>
            <w:bottom w:val="none" w:sz="0" w:space="0" w:color="auto"/>
            <w:right w:val="none" w:sz="0" w:space="0" w:color="auto"/>
          </w:divBdr>
          <w:divsChild>
            <w:div w:id="408306865">
              <w:marLeft w:val="0"/>
              <w:marRight w:val="0"/>
              <w:marTop w:val="0"/>
              <w:marBottom w:val="0"/>
              <w:divBdr>
                <w:top w:val="none" w:sz="0" w:space="0" w:color="auto"/>
                <w:left w:val="none" w:sz="0" w:space="0" w:color="auto"/>
                <w:bottom w:val="none" w:sz="0" w:space="0" w:color="auto"/>
                <w:right w:val="none" w:sz="0" w:space="0" w:color="auto"/>
              </w:divBdr>
              <w:divsChild>
                <w:div w:id="1530685514">
                  <w:marLeft w:val="0"/>
                  <w:marRight w:val="0"/>
                  <w:marTop w:val="0"/>
                  <w:marBottom w:val="0"/>
                  <w:divBdr>
                    <w:top w:val="none" w:sz="0" w:space="0" w:color="auto"/>
                    <w:left w:val="none" w:sz="0" w:space="0" w:color="auto"/>
                    <w:bottom w:val="none" w:sz="0" w:space="0" w:color="auto"/>
                    <w:right w:val="none" w:sz="0" w:space="0" w:color="auto"/>
                  </w:divBdr>
                  <w:divsChild>
                    <w:div w:id="13116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560303">
          <w:marLeft w:val="0"/>
          <w:marRight w:val="0"/>
          <w:marTop w:val="0"/>
          <w:marBottom w:val="0"/>
          <w:divBdr>
            <w:top w:val="none" w:sz="0" w:space="0" w:color="auto"/>
            <w:left w:val="none" w:sz="0" w:space="0" w:color="auto"/>
            <w:bottom w:val="none" w:sz="0" w:space="0" w:color="auto"/>
            <w:right w:val="none" w:sz="0" w:space="0" w:color="auto"/>
          </w:divBdr>
          <w:divsChild>
            <w:div w:id="696583759">
              <w:marLeft w:val="0"/>
              <w:marRight w:val="0"/>
              <w:marTop w:val="0"/>
              <w:marBottom w:val="0"/>
              <w:divBdr>
                <w:top w:val="none" w:sz="0" w:space="0" w:color="auto"/>
                <w:left w:val="none" w:sz="0" w:space="0" w:color="auto"/>
                <w:bottom w:val="none" w:sz="0" w:space="0" w:color="auto"/>
                <w:right w:val="none" w:sz="0" w:space="0" w:color="auto"/>
              </w:divBdr>
              <w:divsChild>
                <w:div w:id="191000018">
                  <w:marLeft w:val="0"/>
                  <w:marRight w:val="0"/>
                  <w:marTop w:val="0"/>
                  <w:marBottom w:val="0"/>
                  <w:divBdr>
                    <w:top w:val="none" w:sz="0" w:space="0" w:color="auto"/>
                    <w:left w:val="none" w:sz="0" w:space="0" w:color="auto"/>
                    <w:bottom w:val="none" w:sz="0" w:space="0" w:color="auto"/>
                    <w:right w:val="none" w:sz="0" w:space="0" w:color="auto"/>
                  </w:divBdr>
                  <w:divsChild>
                    <w:div w:id="76769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951281">
      <w:bodyDiv w:val="1"/>
      <w:marLeft w:val="0"/>
      <w:marRight w:val="0"/>
      <w:marTop w:val="0"/>
      <w:marBottom w:val="0"/>
      <w:divBdr>
        <w:top w:val="none" w:sz="0" w:space="0" w:color="auto"/>
        <w:left w:val="none" w:sz="0" w:space="0" w:color="auto"/>
        <w:bottom w:val="none" w:sz="0" w:space="0" w:color="auto"/>
        <w:right w:val="none" w:sz="0" w:space="0" w:color="auto"/>
      </w:divBdr>
    </w:div>
    <w:div w:id="545487320">
      <w:bodyDiv w:val="1"/>
      <w:marLeft w:val="0"/>
      <w:marRight w:val="0"/>
      <w:marTop w:val="0"/>
      <w:marBottom w:val="0"/>
      <w:divBdr>
        <w:top w:val="none" w:sz="0" w:space="0" w:color="auto"/>
        <w:left w:val="none" w:sz="0" w:space="0" w:color="auto"/>
        <w:bottom w:val="none" w:sz="0" w:space="0" w:color="auto"/>
        <w:right w:val="none" w:sz="0" w:space="0" w:color="auto"/>
      </w:divBdr>
    </w:div>
    <w:div w:id="551036426">
      <w:bodyDiv w:val="1"/>
      <w:marLeft w:val="0"/>
      <w:marRight w:val="0"/>
      <w:marTop w:val="0"/>
      <w:marBottom w:val="0"/>
      <w:divBdr>
        <w:top w:val="none" w:sz="0" w:space="0" w:color="auto"/>
        <w:left w:val="none" w:sz="0" w:space="0" w:color="auto"/>
        <w:bottom w:val="none" w:sz="0" w:space="0" w:color="auto"/>
        <w:right w:val="none" w:sz="0" w:space="0" w:color="auto"/>
      </w:divBdr>
      <w:divsChild>
        <w:div w:id="1554922881">
          <w:marLeft w:val="0"/>
          <w:marRight w:val="0"/>
          <w:marTop w:val="0"/>
          <w:marBottom w:val="0"/>
          <w:divBdr>
            <w:top w:val="none" w:sz="0" w:space="0" w:color="auto"/>
            <w:left w:val="none" w:sz="0" w:space="0" w:color="auto"/>
            <w:bottom w:val="none" w:sz="0" w:space="0" w:color="auto"/>
            <w:right w:val="none" w:sz="0" w:space="0" w:color="auto"/>
          </w:divBdr>
          <w:divsChild>
            <w:div w:id="1068334978">
              <w:marLeft w:val="0"/>
              <w:marRight w:val="0"/>
              <w:marTop w:val="0"/>
              <w:marBottom w:val="0"/>
              <w:divBdr>
                <w:top w:val="none" w:sz="0" w:space="0" w:color="auto"/>
                <w:left w:val="none" w:sz="0" w:space="0" w:color="auto"/>
                <w:bottom w:val="none" w:sz="0" w:space="0" w:color="auto"/>
                <w:right w:val="none" w:sz="0" w:space="0" w:color="auto"/>
              </w:divBdr>
              <w:divsChild>
                <w:div w:id="784808435">
                  <w:marLeft w:val="0"/>
                  <w:marRight w:val="0"/>
                  <w:marTop w:val="0"/>
                  <w:marBottom w:val="0"/>
                  <w:divBdr>
                    <w:top w:val="none" w:sz="0" w:space="0" w:color="auto"/>
                    <w:left w:val="none" w:sz="0" w:space="0" w:color="auto"/>
                    <w:bottom w:val="none" w:sz="0" w:space="0" w:color="auto"/>
                    <w:right w:val="none" w:sz="0" w:space="0" w:color="auto"/>
                  </w:divBdr>
                  <w:divsChild>
                    <w:div w:id="335350736">
                      <w:marLeft w:val="0"/>
                      <w:marRight w:val="0"/>
                      <w:marTop w:val="0"/>
                      <w:marBottom w:val="0"/>
                      <w:divBdr>
                        <w:top w:val="none" w:sz="0" w:space="0" w:color="auto"/>
                        <w:left w:val="none" w:sz="0" w:space="0" w:color="auto"/>
                        <w:bottom w:val="none" w:sz="0" w:space="0" w:color="auto"/>
                        <w:right w:val="none" w:sz="0" w:space="0" w:color="auto"/>
                      </w:divBdr>
                      <w:divsChild>
                        <w:div w:id="1820459462">
                          <w:marLeft w:val="0"/>
                          <w:marRight w:val="0"/>
                          <w:marTop w:val="0"/>
                          <w:marBottom w:val="0"/>
                          <w:divBdr>
                            <w:top w:val="none" w:sz="0" w:space="0" w:color="auto"/>
                            <w:left w:val="none" w:sz="0" w:space="0" w:color="auto"/>
                            <w:bottom w:val="none" w:sz="0" w:space="0" w:color="auto"/>
                            <w:right w:val="none" w:sz="0" w:space="0" w:color="auto"/>
                          </w:divBdr>
                          <w:divsChild>
                            <w:div w:id="692269262">
                              <w:marLeft w:val="0"/>
                              <w:marRight w:val="0"/>
                              <w:marTop w:val="0"/>
                              <w:marBottom w:val="0"/>
                              <w:divBdr>
                                <w:top w:val="none" w:sz="0" w:space="0" w:color="auto"/>
                                <w:left w:val="none" w:sz="0" w:space="0" w:color="auto"/>
                                <w:bottom w:val="none" w:sz="0" w:space="0" w:color="auto"/>
                                <w:right w:val="none" w:sz="0" w:space="0" w:color="auto"/>
                              </w:divBdr>
                              <w:divsChild>
                                <w:div w:id="1982660642">
                                  <w:marLeft w:val="0"/>
                                  <w:marRight w:val="0"/>
                                  <w:marTop w:val="0"/>
                                  <w:marBottom w:val="0"/>
                                  <w:divBdr>
                                    <w:top w:val="none" w:sz="0" w:space="0" w:color="auto"/>
                                    <w:left w:val="none" w:sz="0" w:space="0" w:color="auto"/>
                                    <w:bottom w:val="none" w:sz="0" w:space="0" w:color="auto"/>
                                    <w:right w:val="none" w:sz="0" w:space="0" w:color="auto"/>
                                  </w:divBdr>
                                  <w:divsChild>
                                    <w:div w:id="14275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7303835">
      <w:bodyDiv w:val="1"/>
      <w:marLeft w:val="0"/>
      <w:marRight w:val="0"/>
      <w:marTop w:val="0"/>
      <w:marBottom w:val="0"/>
      <w:divBdr>
        <w:top w:val="none" w:sz="0" w:space="0" w:color="auto"/>
        <w:left w:val="none" w:sz="0" w:space="0" w:color="auto"/>
        <w:bottom w:val="none" w:sz="0" w:space="0" w:color="auto"/>
        <w:right w:val="none" w:sz="0" w:space="0" w:color="auto"/>
      </w:divBdr>
    </w:div>
    <w:div w:id="579415338">
      <w:bodyDiv w:val="1"/>
      <w:marLeft w:val="0"/>
      <w:marRight w:val="0"/>
      <w:marTop w:val="0"/>
      <w:marBottom w:val="0"/>
      <w:divBdr>
        <w:top w:val="none" w:sz="0" w:space="0" w:color="auto"/>
        <w:left w:val="none" w:sz="0" w:space="0" w:color="auto"/>
        <w:bottom w:val="none" w:sz="0" w:space="0" w:color="auto"/>
        <w:right w:val="none" w:sz="0" w:space="0" w:color="auto"/>
      </w:divBdr>
      <w:divsChild>
        <w:div w:id="115100866">
          <w:marLeft w:val="0"/>
          <w:marRight w:val="0"/>
          <w:marTop w:val="0"/>
          <w:marBottom w:val="0"/>
          <w:divBdr>
            <w:top w:val="none" w:sz="0" w:space="0" w:color="auto"/>
            <w:left w:val="none" w:sz="0" w:space="0" w:color="auto"/>
            <w:bottom w:val="none" w:sz="0" w:space="0" w:color="auto"/>
            <w:right w:val="none" w:sz="0" w:space="0" w:color="auto"/>
          </w:divBdr>
          <w:divsChild>
            <w:div w:id="1468234113">
              <w:marLeft w:val="0"/>
              <w:marRight w:val="0"/>
              <w:marTop w:val="0"/>
              <w:marBottom w:val="0"/>
              <w:divBdr>
                <w:top w:val="none" w:sz="0" w:space="0" w:color="auto"/>
                <w:left w:val="none" w:sz="0" w:space="0" w:color="auto"/>
                <w:bottom w:val="none" w:sz="0" w:space="0" w:color="auto"/>
                <w:right w:val="none" w:sz="0" w:space="0" w:color="auto"/>
              </w:divBdr>
              <w:divsChild>
                <w:div w:id="906646786">
                  <w:marLeft w:val="0"/>
                  <w:marRight w:val="0"/>
                  <w:marTop w:val="0"/>
                  <w:marBottom w:val="0"/>
                  <w:divBdr>
                    <w:top w:val="none" w:sz="0" w:space="0" w:color="auto"/>
                    <w:left w:val="none" w:sz="0" w:space="0" w:color="auto"/>
                    <w:bottom w:val="none" w:sz="0" w:space="0" w:color="auto"/>
                    <w:right w:val="none" w:sz="0" w:space="0" w:color="auto"/>
                  </w:divBdr>
                  <w:divsChild>
                    <w:div w:id="62948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6693">
          <w:marLeft w:val="0"/>
          <w:marRight w:val="0"/>
          <w:marTop w:val="0"/>
          <w:marBottom w:val="0"/>
          <w:divBdr>
            <w:top w:val="none" w:sz="0" w:space="0" w:color="auto"/>
            <w:left w:val="none" w:sz="0" w:space="0" w:color="auto"/>
            <w:bottom w:val="none" w:sz="0" w:space="0" w:color="auto"/>
            <w:right w:val="none" w:sz="0" w:space="0" w:color="auto"/>
          </w:divBdr>
          <w:divsChild>
            <w:div w:id="1402555523">
              <w:marLeft w:val="0"/>
              <w:marRight w:val="0"/>
              <w:marTop w:val="0"/>
              <w:marBottom w:val="0"/>
              <w:divBdr>
                <w:top w:val="none" w:sz="0" w:space="0" w:color="auto"/>
                <w:left w:val="none" w:sz="0" w:space="0" w:color="auto"/>
                <w:bottom w:val="none" w:sz="0" w:space="0" w:color="auto"/>
                <w:right w:val="none" w:sz="0" w:space="0" w:color="auto"/>
              </w:divBdr>
              <w:divsChild>
                <w:div w:id="1273174333">
                  <w:marLeft w:val="0"/>
                  <w:marRight w:val="0"/>
                  <w:marTop w:val="0"/>
                  <w:marBottom w:val="0"/>
                  <w:divBdr>
                    <w:top w:val="none" w:sz="0" w:space="0" w:color="auto"/>
                    <w:left w:val="none" w:sz="0" w:space="0" w:color="auto"/>
                    <w:bottom w:val="none" w:sz="0" w:space="0" w:color="auto"/>
                    <w:right w:val="none" w:sz="0" w:space="0" w:color="auto"/>
                  </w:divBdr>
                  <w:divsChild>
                    <w:div w:id="13516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579510">
      <w:bodyDiv w:val="1"/>
      <w:marLeft w:val="0"/>
      <w:marRight w:val="0"/>
      <w:marTop w:val="0"/>
      <w:marBottom w:val="0"/>
      <w:divBdr>
        <w:top w:val="none" w:sz="0" w:space="0" w:color="auto"/>
        <w:left w:val="none" w:sz="0" w:space="0" w:color="auto"/>
        <w:bottom w:val="none" w:sz="0" w:space="0" w:color="auto"/>
        <w:right w:val="none" w:sz="0" w:space="0" w:color="auto"/>
      </w:divBdr>
    </w:div>
    <w:div w:id="651255634">
      <w:bodyDiv w:val="1"/>
      <w:marLeft w:val="0"/>
      <w:marRight w:val="0"/>
      <w:marTop w:val="0"/>
      <w:marBottom w:val="0"/>
      <w:divBdr>
        <w:top w:val="none" w:sz="0" w:space="0" w:color="auto"/>
        <w:left w:val="none" w:sz="0" w:space="0" w:color="auto"/>
        <w:bottom w:val="none" w:sz="0" w:space="0" w:color="auto"/>
        <w:right w:val="none" w:sz="0" w:space="0" w:color="auto"/>
      </w:divBdr>
      <w:divsChild>
        <w:div w:id="1008992500">
          <w:marLeft w:val="0"/>
          <w:marRight w:val="0"/>
          <w:marTop w:val="0"/>
          <w:marBottom w:val="0"/>
          <w:divBdr>
            <w:top w:val="none" w:sz="0" w:space="0" w:color="auto"/>
            <w:left w:val="none" w:sz="0" w:space="0" w:color="auto"/>
            <w:bottom w:val="none" w:sz="0" w:space="0" w:color="auto"/>
            <w:right w:val="none" w:sz="0" w:space="0" w:color="auto"/>
          </w:divBdr>
        </w:div>
      </w:divsChild>
    </w:div>
    <w:div w:id="655496735">
      <w:bodyDiv w:val="1"/>
      <w:marLeft w:val="0"/>
      <w:marRight w:val="0"/>
      <w:marTop w:val="0"/>
      <w:marBottom w:val="0"/>
      <w:divBdr>
        <w:top w:val="none" w:sz="0" w:space="0" w:color="auto"/>
        <w:left w:val="none" w:sz="0" w:space="0" w:color="auto"/>
        <w:bottom w:val="none" w:sz="0" w:space="0" w:color="auto"/>
        <w:right w:val="none" w:sz="0" w:space="0" w:color="auto"/>
      </w:divBdr>
    </w:div>
    <w:div w:id="759065294">
      <w:bodyDiv w:val="1"/>
      <w:marLeft w:val="0"/>
      <w:marRight w:val="0"/>
      <w:marTop w:val="0"/>
      <w:marBottom w:val="0"/>
      <w:divBdr>
        <w:top w:val="none" w:sz="0" w:space="0" w:color="auto"/>
        <w:left w:val="none" w:sz="0" w:space="0" w:color="auto"/>
        <w:bottom w:val="none" w:sz="0" w:space="0" w:color="auto"/>
        <w:right w:val="none" w:sz="0" w:space="0" w:color="auto"/>
      </w:divBdr>
      <w:divsChild>
        <w:div w:id="1602644527">
          <w:marLeft w:val="0"/>
          <w:marRight w:val="0"/>
          <w:marTop w:val="0"/>
          <w:marBottom w:val="0"/>
          <w:divBdr>
            <w:top w:val="none" w:sz="0" w:space="0" w:color="auto"/>
            <w:left w:val="none" w:sz="0" w:space="0" w:color="auto"/>
            <w:bottom w:val="none" w:sz="0" w:space="0" w:color="auto"/>
            <w:right w:val="none" w:sz="0" w:space="0" w:color="auto"/>
          </w:divBdr>
          <w:divsChild>
            <w:div w:id="484787324">
              <w:marLeft w:val="0"/>
              <w:marRight w:val="0"/>
              <w:marTop w:val="0"/>
              <w:marBottom w:val="0"/>
              <w:divBdr>
                <w:top w:val="none" w:sz="0" w:space="0" w:color="auto"/>
                <w:left w:val="none" w:sz="0" w:space="0" w:color="auto"/>
                <w:bottom w:val="none" w:sz="0" w:space="0" w:color="auto"/>
                <w:right w:val="none" w:sz="0" w:space="0" w:color="auto"/>
              </w:divBdr>
              <w:divsChild>
                <w:div w:id="727344126">
                  <w:marLeft w:val="0"/>
                  <w:marRight w:val="0"/>
                  <w:marTop w:val="0"/>
                  <w:marBottom w:val="0"/>
                  <w:divBdr>
                    <w:top w:val="none" w:sz="0" w:space="0" w:color="auto"/>
                    <w:left w:val="none" w:sz="0" w:space="0" w:color="auto"/>
                    <w:bottom w:val="none" w:sz="0" w:space="0" w:color="auto"/>
                    <w:right w:val="none" w:sz="0" w:space="0" w:color="auto"/>
                  </w:divBdr>
                  <w:divsChild>
                    <w:div w:id="587616346">
                      <w:marLeft w:val="0"/>
                      <w:marRight w:val="0"/>
                      <w:marTop w:val="0"/>
                      <w:marBottom w:val="0"/>
                      <w:divBdr>
                        <w:top w:val="none" w:sz="0" w:space="0" w:color="auto"/>
                        <w:left w:val="none" w:sz="0" w:space="0" w:color="auto"/>
                        <w:bottom w:val="none" w:sz="0" w:space="0" w:color="auto"/>
                        <w:right w:val="none" w:sz="0" w:space="0" w:color="auto"/>
                      </w:divBdr>
                      <w:divsChild>
                        <w:div w:id="276184813">
                          <w:marLeft w:val="0"/>
                          <w:marRight w:val="0"/>
                          <w:marTop w:val="0"/>
                          <w:marBottom w:val="0"/>
                          <w:divBdr>
                            <w:top w:val="none" w:sz="0" w:space="0" w:color="auto"/>
                            <w:left w:val="none" w:sz="0" w:space="0" w:color="auto"/>
                            <w:bottom w:val="none" w:sz="0" w:space="0" w:color="auto"/>
                            <w:right w:val="none" w:sz="0" w:space="0" w:color="auto"/>
                          </w:divBdr>
                          <w:divsChild>
                            <w:div w:id="495338104">
                              <w:marLeft w:val="0"/>
                              <w:marRight w:val="0"/>
                              <w:marTop w:val="0"/>
                              <w:marBottom w:val="0"/>
                              <w:divBdr>
                                <w:top w:val="none" w:sz="0" w:space="0" w:color="auto"/>
                                <w:left w:val="none" w:sz="0" w:space="0" w:color="auto"/>
                                <w:bottom w:val="none" w:sz="0" w:space="0" w:color="auto"/>
                                <w:right w:val="none" w:sz="0" w:space="0" w:color="auto"/>
                              </w:divBdr>
                              <w:divsChild>
                                <w:div w:id="1105685379">
                                  <w:marLeft w:val="0"/>
                                  <w:marRight w:val="0"/>
                                  <w:marTop w:val="0"/>
                                  <w:marBottom w:val="0"/>
                                  <w:divBdr>
                                    <w:top w:val="none" w:sz="0" w:space="0" w:color="auto"/>
                                    <w:left w:val="none" w:sz="0" w:space="0" w:color="auto"/>
                                    <w:bottom w:val="none" w:sz="0" w:space="0" w:color="auto"/>
                                    <w:right w:val="none" w:sz="0" w:space="0" w:color="auto"/>
                                  </w:divBdr>
                                  <w:divsChild>
                                    <w:div w:id="167352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9521401">
      <w:bodyDiv w:val="1"/>
      <w:marLeft w:val="0"/>
      <w:marRight w:val="0"/>
      <w:marTop w:val="0"/>
      <w:marBottom w:val="0"/>
      <w:divBdr>
        <w:top w:val="none" w:sz="0" w:space="0" w:color="auto"/>
        <w:left w:val="none" w:sz="0" w:space="0" w:color="auto"/>
        <w:bottom w:val="none" w:sz="0" w:space="0" w:color="auto"/>
        <w:right w:val="none" w:sz="0" w:space="0" w:color="auto"/>
      </w:divBdr>
    </w:div>
    <w:div w:id="835536434">
      <w:bodyDiv w:val="1"/>
      <w:marLeft w:val="0"/>
      <w:marRight w:val="0"/>
      <w:marTop w:val="0"/>
      <w:marBottom w:val="0"/>
      <w:divBdr>
        <w:top w:val="none" w:sz="0" w:space="0" w:color="auto"/>
        <w:left w:val="none" w:sz="0" w:space="0" w:color="auto"/>
        <w:bottom w:val="none" w:sz="0" w:space="0" w:color="auto"/>
        <w:right w:val="none" w:sz="0" w:space="0" w:color="auto"/>
      </w:divBdr>
    </w:div>
    <w:div w:id="840776242">
      <w:bodyDiv w:val="1"/>
      <w:marLeft w:val="0"/>
      <w:marRight w:val="0"/>
      <w:marTop w:val="0"/>
      <w:marBottom w:val="0"/>
      <w:divBdr>
        <w:top w:val="none" w:sz="0" w:space="0" w:color="auto"/>
        <w:left w:val="none" w:sz="0" w:space="0" w:color="auto"/>
        <w:bottom w:val="none" w:sz="0" w:space="0" w:color="auto"/>
        <w:right w:val="none" w:sz="0" w:space="0" w:color="auto"/>
      </w:divBdr>
    </w:div>
    <w:div w:id="858465495">
      <w:bodyDiv w:val="1"/>
      <w:marLeft w:val="0"/>
      <w:marRight w:val="0"/>
      <w:marTop w:val="0"/>
      <w:marBottom w:val="0"/>
      <w:divBdr>
        <w:top w:val="none" w:sz="0" w:space="0" w:color="auto"/>
        <w:left w:val="none" w:sz="0" w:space="0" w:color="auto"/>
        <w:bottom w:val="none" w:sz="0" w:space="0" w:color="auto"/>
        <w:right w:val="none" w:sz="0" w:space="0" w:color="auto"/>
      </w:divBdr>
    </w:div>
    <w:div w:id="883324231">
      <w:bodyDiv w:val="1"/>
      <w:marLeft w:val="0"/>
      <w:marRight w:val="0"/>
      <w:marTop w:val="0"/>
      <w:marBottom w:val="0"/>
      <w:divBdr>
        <w:top w:val="none" w:sz="0" w:space="0" w:color="auto"/>
        <w:left w:val="none" w:sz="0" w:space="0" w:color="auto"/>
        <w:bottom w:val="none" w:sz="0" w:space="0" w:color="auto"/>
        <w:right w:val="none" w:sz="0" w:space="0" w:color="auto"/>
      </w:divBdr>
    </w:div>
    <w:div w:id="895311164">
      <w:bodyDiv w:val="1"/>
      <w:marLeft w:val="0"/>
      <w:marRight w:val="0"/>
      <w:marTop w:val="0"/>
      <w:marBottom w:val="0"/>
      <w:divBdr>
        <w:top w:val="none" w:sz="0" w:space="0" w:color="auto"/>
        <w:left w:val="none" w:sz="0" w:space="0" w:color="auto"/>
        <w:bottom w:val="none" w:sz="0" w:space="0" w:color="auto"/>
        <w:right w:val="none" w:sz="0" w:space="0" w:color="auto"/>
      </w:divBdr>
      <w:divsChild>
        <w:div w:id="731848914">
          <w:marLeft w:val="0"/>
          <w:marRight w:val="0"/>
          <w:marTop w:val="0"/>
          <w:marBottom w:val="0"/>
          <w:divBdr>
            <w:top w:val="none" w:sz="0" w:space="0" w:color="auto"/>
            <w:left w:val="none" w:sz="0" w:space="0" w:color="auto"/>
            <w:bottom w:val="none" w:sz="0" w:space="0" w:color="auto"/>
            <w:right w:val="none" w:sz="0" w:space="0" w:color="auto"/>
          </w:divBdr>
          <w:divsChild>
            <w:div w:id="442771657">
              <w:marLeft w:val="0"/>
              <w:marRight w:val="0"/>
              <w:marTop w:val="0"/>
              <w:marBottom w:val="0"/>
              <w:divBdr>
                <w:top w:val="none" w:sz="0" w:space="0" w:color="auto"/>
                <w:left w:val="none" w:sz="0" w:space="0" w:color="auto"/>
                <w:bottom w:val="none" w:sz="0" w:space="0" w:color="auto"/>
                <w:right w:val="none" w:sz="0" w:space="0" w:color="auto"/>
              </w:divBdr>
              <w:divsChild>
                <w:div w:id="466819438">
                  <w:marLeft w:val="0"/>
                  <w:marRight w:val="0"/>
                  <w:marTop w:val="0"/>
                  <w:marBottom w:val="0"/>
                  <w:divBdr>
                    <w:top w:val="none" w:sz="0" w:space="0" w:color="auto"/>
                    <w:left w:val="none" w:sz="0" w:space="0" w:color="auto"/>
                    <w:bottom w:val="none" w:sz="0" w:space="0" w:color="auto"/>
                    <w:right w:val="none" w:sz="0" w:space="0" w:color="auto"/>
                  </w:divBdr>
                  <w:divsChild>
                    <w:div w:id="3677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762330">
      <w:bodyDiv w:val="1"/>
      <w:marLeft w:val="0"/>
      <w:marRight w:val="0"/>
      <w:marTop w:val="0"/>
      <w:marBottom w:val="0"/>
      <w:divBdr>
        <w:top w:val="none" w:sz="0" w:space="0" w:color="auto"/>
        <w:left w:val="none" w:sz="0" w:space="0" w:color="auto"/>
        <w:bottom w:val="none" w:sz="0" w:space="0" w:color="auto"/>
        <w:right w:val="none" w:sz="0" w:space="0" w:color="auto"/>
      </w:divBdr>
    </w:div>
    <w:div w:id="930241866">
      <w:bodyDiv w:val="1"/>
      <w:marLeft w:val="0"/>
      <w:marRight w:val="0"/>
      <w:marTop w:val="0"/>
      <w:marBottom w:val="0"/>
      <w:divBdr>
        <w:top w:val="none" w:sz="0" w:space="0" w:color="auto"/>
        <w:left w:val="none" w:sz="0" w:space="0" w:color="auto"/>
        <w:bottom w:val="none" w:sz="0" w:space="0" w:color="auto"/>
        <w:right w:val="none" w:sz="0" w:space="0" w:color="auto"/>
      </w:divBdr>
    </w:div>
    <w:div w:id="968128491">
      <w:bodyDiv w:val="1"/>
      <w:marLeft w:val="0"/>
      <w:marRight w:val="0"/>
      <w:marTop w:val="0"/>
      <w:marBottom w:val="0"/>
      <w:divBdr>
        <w:top w:val="none" w:sz="0" w:space="0" w:color="auto"/>
        <w:left w:val="none" w:sz="0" w:space="0" w:color="auto"/>
        <w:bottom w:val="none" w:sz="0" w:space="0" w:color="auto"/>
        <w:right w:val="none" w:sz="0" w:space="0" w:color="auto"/>
      </w:divBdr>
    </w:div>
    <w:div w:id="998768776">
      <w:bodyDiv w:val="1"/>
      <w:marLeft w:val="0"/>
      <w:marRight w:val="0"/>
      <w:marTop w:val="0"/>
      <w:marBottom w:val="0"/>
      <w:divBdr>
        <w:top w:val="none" w:sz="0" w:space="0" w:color="auto"/>
        <w:left w:val="none" w:sz="0" w:space="0" w:color="auto"/>
        <w:bottom w:val="none" w:sz="0" w:space="0" w:color="auto"/>
        <w:right w:val="none" w:sz="0" w:space="0" w:color="auto"/>
      </w:divBdr>
    </w:div>
    <w:div w:id="1014845171">
      <w:bodyDiv w:val="1"/>
      <w:marLeft w:val="0"/>
      <w:marRight w:val="0"/>
      <w:marTop w:val="0"/>
      <w:marBottom w:val="0"/>
      <w:divBdr>
        <w:top w:val="none" w:sz="0" w:space="0" w:color="auto"/>
        <w:left w:val="none" w:sz="0" w:space="0" w:color="auto"/>
        <w:bottom w:val="none" w:sz="0" w:space="0" w:color="auto"/>
        <w:right w:val="none" w:sz="0" w:space="0" w:color="auto"/>
      </w:divBdr>
    </w:div>
    <w:div w:id="1045060948">
      <w:bodyDiv w:val="1"/>
      <w:marLeft w:val="0"/>
      <w:marRight w:val="0"/>
      <w:marTop w:val="0"/>
      <w:marBottom w:val="0"/>
      <w:divBdr>
        <w:top w:val="none" w:sz="0" w:space="0" w:color="auto"/>
        <w:left w:val="none" w:sz="0" w:space="0" w:color="auto"/>
        <w:bottom w:val="none" w:sz="0" w:space="0" w:color="auto"/>
        <w:right w:val="none" w:sz="0" w:space="0" w:color="auto"/>
      </w:divBdr>
    </w:div>
    <w:div w:id="1053427905">
      <w:bodyDiv w:val="1"/>
      <w:marLeft w:val="0"/>
      <w:marRight w:val="0"/>
      <w:marTop w:val="0"/>
      <w:marBottom w:val="0"/>
      <w:divBdr>
        <w:top w:val="none" w:sz="0" w:space="0" w:color="auto"/>
        <w:left w:val="none" w:sz="0" w:space="0" w:color="auto"/>
        <w:bottom w:val="none" w:sz="0" w:space="0" w:color="auto"/>
        <w:right w:val="none" w:sz="0" w:space="0" w:color="auto"/>
      </w:divBdr>
    </w:div>
    <w:div w:id="1085881490">
      <w:bodyDiv w:val="1"/>
      <w:marLeft w:val="0"/>
      <w:marRight w:val="0"/>
      <w:marTop w:val="0"/>
      <w:marBottom w:val="0"/>
      <w:divBdr>
        <w:top w:val="none" w:sz="0" w:space="0" w:color="auto"/>
        <w:left w:val="none" w:sz="0" w:space="0" w:color="auto"/>
        <w:bottom w:val="none" w:sz="0" w:space="0" w:color="auto"/>
        <w:right w:val="none" w:sz="0" w:space="0" w:color="auto"/>
      </w:divBdr>
    </w:div>
    <w:div w:id="1089815722">
      <w:bodyDiv w:val="1"/>
      <w:marLeft w:val="0"/>
      <w:marRight w:val="0"/>
      <w:marTop w:val="0"/>
      <w:marBottom w:val="0"/>
      <w:divBdr>
        <w:top w:val="none" w:sz="0" w:space="0" w:color="auto"/>
        <w:left w:val="none" w:sz="0" w:space="0" w:color="auto"/>
        <w:bottom w:val="none" w:sz="0" w:space="0" w:color="auto"/>
        <w:right w:val="none" w:sz="0" w:space="0" w:color="auto"/>
      </w:divBdr>
    </w:div>
    <w:div w:id="1124227750">
      <w:bodyDiv w:val="1"/>
      <w:marLeft w:val="0"/>
      <w:marRight w:val="0"/>
      <w:marTop w:val="0"/>
      <w:marBottom w:val="0"/>
      <w:divBdr>
        <w:top w:val="none" w:sz="0" w:space="0" w:color="auto"/>
        <w:left w:val="none" w:sz="0" w:space="0" w:color="auto"/>
        <w:bottom w:val="none" w:sz="0" w:space="0" w:color="auto"/>
        <w:right w:val="none" w:sz="0" w:space="0" w:color="auto"/>
      </w:divBdr>
    </w:div>
    <w:div w:id="1160002099">
      <w:bodyDiv w:val="1"/>
      <w:marLeft w:val="0"/>
      <w:marRight w:val="0"/>
      <w:marTop w:val="0"/>
      <w:marBottom w:val="0"/>
      <w:divBdr>
        <w:top w:val="none" w:sz="0" w:space="0" w:color="auto"/>
        <w:left w:val="none" w:sz="0" w:space="0" w:color="auto"/>
        <w:bottom w:val="none" w:sz="0" w:space="0" w:color="auto"/>
        <w:right w:val="none" w:sz="0" w:space="0" w:color="auto"/>
      </w:divBdr>
      <w:divsChild>
        <w:div w:id="1565993191">
          <w:marLeft w:val="0"/>
          <w:marRight w:val="0"/>
          <w:marTop w:val="0"/>
          <w:marBottom w:val="0"/>
          <w:divBdr>
            <w:top w:val="none" w:sz="0" w:space="0" w:color="auto"/>
            <w:left w:val="none" w:sz="0" w:space="0" w:color="auto"/>
            <w:bottom w:val="none" w:sz="0" w:space="0" w:color="auto"/>
            <w:right w:val="none" w:sz="0" w:space="0" w:color="auto"/>
          </w:divBdr>
          <w:divsChild>
            <w:div w:id="68693241">
              <w:marLeft w:val="0"/>
              <w:marRight w:val="0"/>
              <w:marTop w:val="0"/>
              <w:marBottom w:val="0"/>
              <w:divBdr>
                <w:top w:val="none" w:sz="0" w:space="0" w:color="auto"/>
                <w:left w:val="none" w:sz="0" w:space="0" w:color="auto"/>
                <w:bottom w:val="none" w:sz="0" w:space="0" w:color="auto"/>
                <w:right w:val="none" w:sz="0" w:space="0" w:color="auto"/>
              </w:divBdr>
              <w:divsChild>
                <w:div w:id="970523748">
                  <w:marLeft w:val="0"/>
                  <w:marRight w:val="0"/>
                  <w:marTop w:val="0"/>
                  <w:marBottom w:val="0"/>
                  <w:divBdr>
                    <w:top w:val="none" w:sz="0" w:space="0" w:color="auto"/>
                    <w:left w:val="none" w:sz="0" w:space="0" w:color="auto"/>
                    <w:bottom w:val="none" w:sz="0" w:space="0" w:color="auto"/>
                    <w:right w:val="none" w:sz="0" w:space="0" w:color="auto"/>
                  </w:divBdr>
                  <w:divsChild>
                    <w:div w:id="573976914">
                      <w:marLeft w:val="0"/>
                      <w:marRight w:val="0"/>
                      <w:marTop w:val="0"/>
                      <w:marBottom w:val="0"/>
                      <w:divBdr>
                        <w:top w:val="none" w:sz="0" w:space="0" w:color="auto"/>
                        <w:left w:val="none" w:sz="0" w:space="0" w:color="auto"/>
                        <w:bottom w:val="none" w:sz="0" w:space="0" w:color="auto"/>
                        <w:right w:val="none" w:sz="0" w:space="0" w:color="auto"/>
                      </w:divBdr>
                      <w:divsChild>
                        <w:div w:id="1446195661">
                          <w:marLeft w:val="0"/>
                          <w:marRight w:val="0"/>
                          <w:marTop w:val="0"/>
                          <w:marBottom w:val="0"/>
                          <w:divBdr>
                            <w:top w:val="none" w:sz="0" w:space="0" w:color="auto"/>
                            <w:left w:val="none" w:sz="0" w:space="0" w:color="auto"/>
                            <w:bottom w:val="none" w:sz="0" w:space="0" w:color="auto"/>
                            <w:right w:val="none" w:sz="0" w:space="0" w:color="auto"/>
                          </w:divBdr>
                          <w:divsChild>
                            <w:div w:id="704790351">
                              <w:marLeft w:val="0"/>
                              <w:marRight w:val="0"/>
                              <w:marTop w:val="0"/>
                              <w:marBottom w:val="0"/>
                              <w:divBdr>
                                <w:top w:val="none" w:sz="0" w:space="0" w:color="auto"/>
                                <w:left w:val="none" w:sz="0" w:space="0" w:color="auto"/>
                                <w:bottom w:val="none" w:sz="0" w:space="0" w:color="auto"/>
                                <w:right w:val="none" w:sz="0" w:space="0" w:color="auto"/>
                              </w:divBdr>
                              <w:divsChild>
                                <w:div w:id="1539198475">
                                  <w:marLeft w:val="0"/>
                                  <w:marRight w:val="0"/>
                                  <w:marTop w:val="0"/>
                                  <w:marBottom w:val="0"/>
                                  <w:divBdr>
                                    <w:top w:val="none" w:sz="0" w:space="0" w:color="auto"/>
                                    <w:left w:val="none" w:sz="0" w:space="0" w:color="auto"/>
                                    <w:bottom w:val="none" w:sz="0" w:space="0" w:color="auto"/>
                                    <w:right w:val="none" w:sz="0" w:space="0" w:color="auto"/>
                                  </w:divBdr>
                                  <w:divsChild>
                                    <w:div w:id="2628579">
                                      <w:marLeft w:val="0"/>
                                      <w:marRight w:val="0"/>
                                      <w:marTop w:val="0"/>
                                      <w:marBottom w:val="0"/>
                                      <w:divBdr>
                                        <w:top w:val="none" w:sz="0" w:space="0" w:color="auto"/>
                                        <w:left w:val="none" w:sz="0" w:space="0" w:color="auto"/>
                                        <w:bottom w:val="none" w:sz="0" w:space="0" w:color="auto"/>
                                        <w:right w:val="none" w:sz="0" w:space="0" w:color="auto"/>
                                      </w:divBdr>
                                      <w:divsChild>
                                        <w:div w:id="32733379">
                                          <w:marLeft w:val="0"/>
                                          <w:marRight w:val="0"/>
                                          <w:marTop w:val="0"/>
                                          <w:marBottom w:val="0"/>
                                          <w:divBdr>
                                            <w:top w:val="none" w:sz="0" w:space="0" w:color="auto"/>
                                            <w:left w:val="none" w:sz="0" w:space="0" w:color="auto"/>
                                            <w:bottom w:val="none" w:sz="0" w:space="0" w:color="auto"/>
                                            <w:right w:val="none" w:sz="0" w:space="0" w:color="auto"/>
                                          </w:divBdr>
                                          <w:divsChild>
                                            <w:div w:id="1469474696">
                                              <w:marLeft w:val="0"/>
                                              <w:marRight w:val="0"/>
                                              <w:marTop w:val="0"/>
                                              <w:marBottom w:val="0"/>
                                              <w:divBdr>
                                                <w:top w:val="none" w:sz="0" w:space="0" w:color="auto"/>
                                                <w:left w:val="none" w:sz="0" w:space="0" w:color="auto"/>
                                                <w:bottom w:val="none" w:sz="0" w:space="0" w:color="auto"/>
                                                <w:right w:val="none" w:sz="0" w:space="0" w:color="auto"/>
                                              </w:divBdr>
                                              <w:divsChild>
                                                <w:div w:id="871267072">
                                                  <w:marLeft w:val="0"/>
                                                  <w:marRight w:val="0"/>
                                                  <w:marTop w:val="0"/>
                                                  <w:marBottom w:val="0"/>
                                                  <w:divBdr>
                                                    <w:top w:val="none" w:sz="0" w:space="0" w:color="auto"/>
                                                    <w:left w:val="none" w:sz="0" w:space="0" w:color="auto"/>
                                                    <w:bottom w:val="none" w:sz="0" w:space="0" w:color="auto"/>
                                                    <w:right w:val="none" w:sz="0" w:space="0" w:color="auto"/>
                                                  </w:divBdr>
                                                  <w:divsChild>
                                                    <w:div w:id="155681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048121">
          <w:marLeft w:val="0"/>
          <w:marRight w:val="0"/>
          <w:marTop w:val="0"/>
          <w:marBottom w:val="0"/>
          <w:divBdr>
            <w:top w:val="none" w:sz="0" w:space="0" w:color="auto"/>
            <w:left w:val="none" w:sz="0" w:space="0" w:color="auto"/>
            <w:bottom w:val="none" w:sz="0" w:space="0" w:color="auto"/>
            <w:right w:val="none" w:sz="0" w:space="0" w:color="auto"/>
          </w:divBdr>
          <w:divsChild>
            <w:div w:id="1896627203">
              <w:marLeft w:val="0"/>
              <w:marRight w:val="0"/>
              <w:marTop w:val="0"/>
              <w:marBottom w:val="0"/>
              <w:divBdr>
                <w:top w:val="none" w:sz="0" w:space="0" w:color="auto"/>
                <w:left w:val="none" w:sz="0" w:space="0" w:color="auto"/>
                <w:bottom w:val="none" w:sz="0" w:space="0" w:color="auto"/>
                <w:right w:val="none" w:sz="0" w:space="0" w:color="auto"/>
              </w:divBdr>
              <w:divsChild>
                <w:div w:id="69569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85606">
      <w:bodyDiv w:val="1"/>
      <w:marLeft w:val="0"/>
      <w:marRight w:val="0"/>
      <w:marTop w:val="0"/>
      <w:marBottom w:val="0"/>
      <w:divBdr>
        <w:top w:val="none" w:sz="0" w:space="0" w:color="auto"/>
        <w:left w:val="none" w:sz="0" w:space="0" w:color="auto"/>
        <w:bottom w:val="none" w:sz="0" w:space="0" w:color="auto"/>
        <w:right w:val="none" w:sz="0" w:space="0" w:color="auto"/>
      </w:divBdr>
      <w:divsChild>
        <w:div w:id="2108689978">
          <w:marLeft w:val="0"/>
          <w:marRight w:val="0"/>
          <w:marTop w:val="0"/>
          <w:marBottom w:val="0"/>
          <w:divBdr>
            <w:top w:val="none" w:sz="0" w:space="0" w:color="auto"/>
            <w:left w:val="none" w:sz="0" w:space="0" w:color="auto"/>
            <w:bottom w:val="none" w:sz="0" w:space="0" w:color="auto"/>
            <w:right w:val="none" w:sz="0" w:space="0" w:color="auto"/>
          </w:divBdr>
          <w:divsChild>
            <w:div w:id="1742866165">
              <w:marLeft w:val="0"/>
              <w:marRight w:val="0"/>
              <w:marTop w:val="0"/>
              <w:marBottom w:val="0"/>
              <w:divBdr>
                <w:top w:val="none" w:sz="0" w:space="0" w:color="auto"/>
                <w:left w:val="none" w:sz="0" w:space="0" w:color="auto"/>
                <w:bottom w:val="none" w:sz="0" w:space="0" w:color="auto"/>
                <w:right w:val="none" w:sz="0" w:space="0" w:color="auto"/>
              </w:divBdr>
              <w:divsChild>
                <w:div w:id="255990278">
                  <w:marLeft w:val="0"/>
                  <w:marRight w:val="0"/>
                  <w:marTop w:val="0"/>
                  <w:marBottom w:val="0"/>
                  <w:divBdr>
                    <w:top w:val="none" w:sz="0" w:space="0" w:color="auto"/>
                    <w:left w:val="none" w:sz="0" w:space="0" w:color="auto"/>
                    <w:bottom w:val="none" w:sz="0" w:space="0" w:color="auto"/>
                    <w:right w:val="none" w:sz="0" w:space="0" w:color="auto"/>
                  </w:divBdr>
                  <w:divsChild>
                    <w:div w:id="81415247">
                      <w:marLeft w:val="0"/>
                      <w:marRight w:val="0"/>
                      <w:marTop w:val="0"/>
                      <w:marBottom w:val="0"/>
                      <w:divBdr>
                        <w:top w:val="none" w:sz="0" w:space="0" w:color="auto"/>
                        <w:left w:val="none" w:sz="0" w:space="0" w:color="auto"/>
                        <w:bottom w:val="none" w:sz="0" w:space="0" w:color="auto"/>
                        <w:right w:val="none" w:sz="0" w:space="0" w:color="auto"/>
                      </w:divBdr>
                      <w:divsChild>
                        <w:div w:id="923346209">
                          <w:marLeft w:val="0"/>
                          <w:marRight w:val="0"/>
                          <w:marTop w:val="0"/>
                          <w:marBottom w:val="0"/>
                          <w:divBdr>
                            <w:top w:val="none" w:sz="0" w:space="0" w:color="auto"/>
                            <w:left w:val="none" w:sz="0" w:space="0" w:color="auto"/>
                            <w:bottom w:val="none" w:sz="0" w:space="0" w:color="auto"/>
                            <w:right w:val="none" w:sz="0" w:space="0" w:color="auto"/>
                          </w:divBdr>
                          <w:divsChild>
                            <w:div w:id="1881895018">
                              <w:marLeft w:val="0"/>
                              <w:marRight w:val="0"/>
                              <w:marTop w:val="0"/>
                              <w:marBottom w:val="0"/>
                              <w:divBdr>
                                <w:top w:val="none" w:sz="0" w:space="0" w:color="auto"/>
                                <w:left w:val="none" w:sz="0" w:space="0" w:color="auto"/>
                                <w:bottom w:val="none" w:sz="0" w:space="0" w:color="auto"/>
                                <w:right w:val="none" w:sz="0" w:space="0" w:color="auto"/>
                              </w:divBdr>
                              <w:divsChild>
                                <w:div w:id="529145347">
                                  <w:marLeft w:val="0"/>
                                  <w:marRight w:val="0"/>
                                  <w:marTop w:val="0"/>
                                  <w:marBottom w:val="0"/>
                                  <w:divBdr>
                                    <w:top w:val="none" w:sz="0" w:space="0" w:color="auto"/>
                                    <w:left w:val="none" w:sz="0" w:space="0" w:color="auto"/>
                                    <w:bottom w:val="none" w:sz="0" w:space="0" w:color="auto"/>
                                    <w:right w:val="none" w:sz="0" w:space="0" w:color="auto"/>
                                  </w:divBdr>
                                  <w:divsChild>
                                    <w:div w:id="190332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143662">
      <w:bodyDiv w:val="1"/>
      <w:marLeft w:val="0"/>
      <w:marRight w:val="0"/>
      <w:marTop w:val="0"/>
      <w:marBottom w:val="0"/>
      <w:divBdr>
        <w:top w:val="none" w:sz="0" w:space="0" w:color="auto"/>
        <w:left w:val="none" w:sz="0" w:space="0" w:color="auto"/>
        <w:bottom w:val="none" w:sz="0" w:space="0" w:color="auto"/>
        <w:right w:val="none" w:sz="0" w:space="0" w:color="auto"/>
      </w:divBdr>
    </w:div>
    <w:div w:id="1309167621">
      <w:bodyDiv w:val="1"/>
      <w:marLeft w:val="0"/>
      <w:marRight w:val="0"/>
      <w:marTop w:val="0"/>
      <w:marBottom w:val="0"/>
      <w:divBdr>
        <w:top w:val="none" w:sz="0" w:space="0" w:color="auto"/>
        <w:left w:val="none" w:sz="0" w:space="0" w:color="auto"/>
        <w:bottom w:val="none" w:sz="0" w:space="0" w:color="auto"/>
        <w:right w:val="none" w:sz="0" w:space="0" w:color="auto"/>
      </w:divBdr>
    </w:div>
    <w:div w:id="1322857342">
      <w:bodyDiv w:val="1"/>
      <w:marLeft w:val="0"/>
      <w:marRight w:val="0"/>
      <w:marTop w:val="0"/>
      <w:marBottom w:val="0"/>
      <w:divBdr>
        <w:top w:val="none" w:sz="0" w:space="0" w:color="auto"/>
        <w:left w:val="none" w:sz="0" w:space="0" w:color="auto"/>
        <w:bottom w:val="none" w:sz="0" w:space="0" w:color="auto"/>
        <w:right w:val="none" w:sz="0" w:space="0" w:color="auto"/>
      </w:divBdr>
    </w:div>
    <w:div w:id="1363750523">
      <w:bodyDiv w:val="1"/>
      <w:marLeft w:val="0"/>
      <w:marRight w:val="0"/>
      <w:marTop w:val="0"/>
      <w:marBottom w:val="0"/>
      <w:divBdr>
        <w:top w:val="none" w:sz="0" w:space="0" w:color="auto"/>
        <w:left w:val="none" w:sz="0" w:space="0" w:color="auto"/>
        <w:bottom w:val="none" w:sz="0" w:space="0" w:color="auto"/>
        <w:right w:val="none" w:sz="0" w:space="0" w:color="auto"/>
      </w:divBdr>
    </w:div>
    <w:div w:id="1380351374">
      <w:bodyDiv w:val="1"/>
      <w:marLeft w:val="0"/>
      <w:marRight w:val="0"/>
      <w:marTop w:val="0"/>
      <w:marBottom w:val="0"/>
      <w:divBdr>
        <w:top w:val="none" w:sz="0" w:space="0" w:color="auto"/>
        <w:left w:val="none" w:sz="0" w:space="0" w:color="auto"/>
        <w:bottom w:val="none" w:sz="0" w:space="0" w:color="auto"/>
        <w:right w:val="none" w:sz="0" w:space="0" w:color="auto"/>
      </w:divBdr>
    </w:div>
    <w:div w:id="1387340104">
      <w:bodyDiv w:val="1"/>
      <w:marLeft w:val="0"/>
      <w:marRight w:val="0"/>
      <w:marTop w:val="0"/>
      <w:marBottom w:val="0"/>
      <w:divBdr>
        <w:top w:val="none" w:sz="0" w:space="0" w:color="auto"/>
        <w:left w:val="none" w:sz="0" w:space="0" w:color="auto"/>
        <w:bottom w:val="none" w:sz="0" w:space="0" w:color="auto"/>
        <w:right w:val="none" w:sz="0" w:space="0" w:color="auto"/>
      </w:divBdr>
    </w:div>
    <w:div w:id="1397583360">
      <w:bodyDiv w:val="1"/>
      <w:marLeft w:val="0"/>
      <w:marRight w:val="0"/>
      <w:marTop w:val="0"/>
      <w:marBottom w:val="0"/>
      <w:divBdr>
        <w:top w:val="none" w:sz="0" w:space="0" w:color="auto"/>
        <w:left w:val="none" w:sz="0" w:space="0" w:color="auto"/>
        <w:bottom w:val="none" w:sz="0" w:space="0" w:color="auto"/>
        <w:right w:val="none" w:sz="0" w:space="0" w:color="auto"/>
      </w:divBdr>
    </w:div>
    <w:div w:id="1421416106">
      <w:bodyDiv w:val="1"/>
      <w:marLeft w:val="0"/>
      <w:marRight w:val="0"/>
      <w:marTop w:val="0"/>
      <w:marBottom w:val="0"/>
      <w:divBdr>
        <w:top w:val="none" w:sz="0" w:space="0" w:color="auto"/>
        <w:left w:val="none" w:sz="0" w:space="0" w:color="auto"/>
        <w:bottom w:val="none" w:sz="0" w:space="0" w:color="auto"/>
        <w:right w:val="none" w:sz="0" w:space="0" w:color="auto"/>
      </w:divBdr>
    </w:div>
    <w:div w:id="1544170027">
      <w:bodyDiv w:val="1"/>
      <w:marLeft w:val="0"/>
      <w:marRight w:val="0"/>
      <w:marTop w:val="0"/>
      <w:marBottom w:val="0"/>
      <w:divBdr>
        <w:top w:val="none" w:sz="0" w:space="0" w:color="auto"/>
        <w:left w:val="none" w:sz="0" w:space="0" w:color="auto"/>
        <w:bottom w:val="none" w:sz="0" w:space="0" w:color="auto"/>
        <w:right w:val="none" w:sz="0" w:space="0" w:color="auto"/>
      </w:divBdr>
    </w:div>
    <w:div w:id="1577132040">
      <w:bodyDiv w:val="1"/>
      <w:marLeft w:val="0"/>
      <w:marRight w:val="0"/>
      <w:marTop w:val="0"/>
      <w:marBottom w:val="0"/>
      <w:divBdr>
        <w:top w:val="none" w:sz="0" w:space="0" w:color="auto"/>
        <w:left w:val="none" w:sz="0" w:space="0" w:color="auto"/>
        <w:bottom w:val="none" w:sz="0" w:space="0" w:color="auto"/>
        <w:right w:val="none" w:sz="0" w:space="0" w:color="auto"/>
      </w:divBdr>
    </w:div>
    <w:div w:id="1597865345">
      <w:bodyDiv w:val="1"/>
      <w:marLeft w:val="0"/>
      <w:marRight w:val="0"/>
      <w:marTop w:val="0"/>
      <w:marBottom w:val="0"/>
      <w:divBdr>
        <w:top w:val="none" w:sz="0" w:space="0" w:color="auto"/>
        <w:left w:val="none" w:sz="0" w:space="0" w:color="auto"/>
        <w:bottom w:val="none" w:sz="0" w:space="0" w:color="auto"/>
        <w:right w:val="none" w:sz="0" w:space="0" w:color="auto"/>
      </w:divBdr>
    </w:div>
    <w:div w:id="1602836136">
      <w:bodyDiv w:val="1"/>
      <w:marLeft w:val="0"/>
      <w:marRight w:val="0"/>
      <w:marTop w:val="0"/>
      <w:marBottom w:val="0"/>
      <w:divBdr>
        <w:top w:val="none" w:sz="0" w:space="0" w:color="auto"/>
        <w:left w:val="none" w:sz="0" w:space="0" w:color="auto"/>
        <w:bottom w:val="none" w:sz="0" w:space="0" w:color="auto"/>
        <w:right w:val="none" w:sz="0" w:space="0" w:color="auto"/>
      </w:divBdr>
      <w:divsChild>
        <w:div w:id="1895504424">
          <w:marLeft w:val="0"/>
          <w:marRight w:val="0"/>
          <w:marTop w:val="0"/>
          <w:marBottom w:val="0"/>
          <w:divBdr>
            <w:top w:val="none" w:sz="0" w:space="0" w:color="auto"/>
            <w:left w:val="none" w:sz="0" w:space="0" w:color="auto"/>
            <w:bottom w:val="none" w:sz="0" w:space="0" w:color="auto"/>
            <w:right w:val="none" w:sz="0" w:space="0" w:color="auto"/>
          </w:divBdr>
          <w:divsChild>
            <w:div w:id="757020856">
              <w:marLeft w:val="0"/>
              <w:marRight w:val="0"/>
              <w:marTop w:val="0"/>
              <w:marBottom w:val="0"/>
              <w:divBdr>
                <w:top w:val="none" w:sz="0" w:space="0" w:color="auto"/>
                <w:left w:val="none" w:sz="0" w:space="0" w:color="auto"/>
                <w:bottom w:val="none" w:sz="0" w:space="0" w:color="auto"/>
                <w:right w:val="none" w:sz="0" w:space="0" w:color="auto"/>
              </w:divBdr>
              <w:divsChild>
                <w:div w:id="1736197846">
                  <w:marLeft w:val="0"/>
                  <w:marRight w:val="0"/>
                  <w:marTop w:val="0"/>
                  <w:marBottom w:val="0"/>
                  <w:divBdr>
                    <w:top w:val="none" w:sz="0" w:space="0" w:color="auto"/>
                    <w:left w:val="none" w:sz="0" w:space="0" w:color="auto"/>
                    <w:bottom w:val="none" w:sz="0" w:space="0" w:color="auto"/>
                    <w:right w:val="none" w:sz="0" w:space="0" w:color="auto"/>
                  </w:divBdr>
                  <w:divsChild>
                    <w:div w:id="1326936742">
                      <w:marLeft w:val="0"/>
                      <w:marRight w:val="0"/>
                      <w:marTop w:val="0"/>
                      <w:marBottom w:val="0"/>
                      <w:divBdr>
                        <w:top w:val="none" w:sz="0" w:space="0" w:color="auto"/>
                        <w:left w:val="none" w:sz="0" w:space="0" w:color="auto"/>
                        <w:bottom w:val="none" w:sz="0" w:space="0" w:color="auto"/>
                        <w:right w:val="none" w:sz="0" w:space="0" w:color="auto"/>
                      </w:divBdr>
                      <w:divsChild>
                        <w:div w:id="561719154">
                          <w:marLeft w:val="0"/>
                          <w:marRight w:val="0"/>
                          <w:marTop w:val="0"/>
                          <w:marBottom w:val="0"/>
                          <w:divBdr>
                            <w:top w:val="none" w:sz="0" w:space="0" w:color="auto"/>
                            <w:left w:val="none" w:sz="0" w:space="0" w:color="auto"/>
                            <w:bottom w:val="none" w:sz="0" w:space="0" w:color="auto"/>
                            <w:right w:val="none" w:sz="0" w:space="0" w:color="auto"/>
                          </w:divBdr>
                          <w:divsChild>
                            <w:div w:id="1810049832">
                              <w:marLeft w:val="0"/>
                              <w:marRight w:val="0"/>
                              <w:marTop w:val="0"/>
                              <w:marBottom w:val="0"/>
                              <w:divBdr>
                                <w:top w:val="none" w:sz="0" w:space="0" w:color="auto"/>
                                <w:left w:val="none" w:sz="0" w:space="0" w:color="auto"/>
                                <w:bottom w:val="none" w:sz="0" w:space="0" w:color="auto"/>
                                <w:right w:val="none" w:sz="0" w:space="0" w:color="auto"/>
                              </w:divBdr>
                              <w:divsChild>
                                <w:div w:id="1838885957">
                                  <w:marLeft w:val="0"/>
                                  <w:marRight w:val="0"/>
                                  <w:marTop w:val="0"/>
                                  <w:marBottom w:val="0"/>
                                  <w:divBdr>
                                    <w:top w:val="none" w:sz="0" w:space="0" w:color="auto"/>
                                    <w:left w:val="none" w:sz="0" w:space="0" w:color="auto"/>
                                    <w:bottom w:val="none" w:sz="0" w:space="0" w:color="auto"/>
                                    <w:right w:val="none" w:sz="0" w:space="0" w:color="auto"/>
                                  </w:divBdr>
                                  <w:divsChild>
                                    <w:div w:id="560604672">
                                      <w:marLeft w:val="0"/>
                                      <w:marRight w:val="0"/>
                                      <w:marTop w:val="0"/>
                                      <w:marBottom w:val="0"/>
                                      <w:divBdr>
                                        <w:top w:val="none" w:sz="0" w:space="0" w:color="auto"/>
                                        <w:left w:val="none" w:sz="0" w:space="0" w:color="auto"/>
                                        <w:bottom w:val="none" w:sz="0" w:space="0" w:color="auto"/>
                                        <w:right w:val="none" w:sz="0" w:space="0" w:color="auto"/>
                                      </w:divBdr>
                                      <w:divsChild>
                                        <w:div w:id="596524704">
                                          <w:marLeft w:val="0"/>
                                          <w:marRight w:val="0"/>
                                          <w:marTop w:val="0"/>
                                          <w:marBottom w:val="0"/>
                                          <w:divBdr>
                                            <w:top w:val="none" w:sz="0" w:space="0" w:color="auto"/>
                                            <w:left w:val="none" w:sz="0" w:space="0" w:color="auto"/>
                                            <w:bottom w:val="none" w:sz="0" w:space="0" w:color="auto"/>
                                            <w:right w:val="none" w:sz="0" w:space="0" w:color="auto"/>
                                          </w:divBdr>
                                          <w:divsChild>
                                            <w:div w:id="50424433">
                                              <w:marLeft w:val="0"/>
                                              <w:marRight w:val="0"/>
                                              <w:marTop w:val="0"/>
                                              <w:marBottom w:val="0"/>
                                              <w:divBdr>
                                                <w:top w:val="none" w:sz="0" w:space="0" w:color="auto"/>
                                                <w:left w:val="none" w:sz="0" w:space="0" w:color="auto"/>
                                                <w:bottom w:val="none" w:sz="0" w:space="0" w:color="auto"/>
                                                <w:right w:val="none" w:sz="0" w:space="0" w:color="auto"/>
                                              </w:divBdr>
                                              <w:divsChild>
                                                <w:div w:id="96488677">
                                                  <w:marLeft w:val="0"/>
                                                  <w:marRight w:val="0"/>
                                                  <w:marTop w:val="0"/>
                                                  <w:marBottom w:val="0"/>
                                                  <w:divBdr>
                                                    <w:top w:val="none" w:sz="0" w:space="0" w:color="auto"/>
                                                    <w:left w:val="none" w:sz="0" w:space="0" w:color="auto"/>
                                                    <w:bottom w:val="none" w:sz="0" w:space="0" w:color="auto"/>
                                                    <w:right w:val="none" w:sz="0" w:space="0" w:color="auto"/>
                                                  </w:divBdr>
                                                  <w:divsChild>
                                                    <w:div w:id="130392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1818807">
          <w:marLeft w:val="0"/>
          <w:marRight w:val="0"/>
          <w:marTop w:val="0"/>
          <w:marBottom w:val="0"/>
          <w:divBdr>
            <w:top w:val="none" w:sz="0" w:space="0" w:color="auto"/>
            <w:left w:val="none" w:sz="0" w:space="0" w:color="auto"/>
            <w:bottom w:val="none" w:sz="0" w:space="0" w:color="auto"/>
            <w:right w:val="none" w:sz="0" w:space="0" w:color="auto"/>
          </w:divBdr>
          <w:divsChild>
            <w:div w:id="1200241152">
              <w:marLeft w:val="0"/>
              <w:marRight w:val="0"/>
              <w:marTop w:val="0"/>
              <w:marBottom w:val="0"/>
              <w:divBdr>
                <w:top w:val="none" w:sz="0" w:space="0" w:color="auto"/>
                <w:left w:val="none" w:sz="0" w:space="0" w:color="auto"/>
                <w:bottom w:val="none" w:sz="0" w:space="0" w:color="auto"/>
                <w:right w:val="none" w:sz="0" w:space="0" w:color="auto"/>
              </w:divBdr>
              <w:divsChild>
                <w:div w:id="14294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22340">
      <w:bodyDiv w:val="1"/>
      <w:marLeft w:val="0"/>
      <w:marRight w:val="0"/>
      <w:marTop w:val="0"/>
      <w:marBottom w:val="0"/>
      <w:divBdr>
        <w:top w:val="none" w:sz="0" w:space="0" w:color="auto"/>
        <w:left w:val="none" w:sz="0" w:space="0" w:color="auto"/>
        <w:bottom w:val="none" w:sz="0" w:space="0" w:color="auto"/>
        <w:right w:val="none" w:sz="0" w:space="0" w:color="auto"/>
      </w:divBdr>
    </w:div>
    <w:div w:id="1628390775">
      <w:bodyDiv w:val="1"/>
      <w:marLeft w:val="0"/>
      <w:marRight w:val="0"/>
      <w:marTop w:val="0"/>
      <w:marBottom w:val="0"/>
      <w:divBdr>
        <w:top w:val="none" w:sz="0" w:space="0" w:color="auto"/>
        <w:left w:val="none" w:sz="0" w:space="0" w:color="auto"/>
        <w:bottom w:val="none" w:sz="0" w:space="0" w:color="auto"/>
        <w:right w:val="none" w:sz="0" w:space="0" w:color="auto"/>
      </w:divBdr>
    </w:div>
    <w:div w:id="1756970034">
      <w:bodyDiv w:val="1"/>
      <w:marLeft w:val="0"/>
      <w:marRight w:val="0"/>
      <w:marTop w:val="0"/>
      <w:marBottom w:val="0"/>
      <w:divBdr>
        <w:top w:val="none" w:sz="0" w:space="0" w:color="auto"/>
        <w:left w:val="none" w:sz="0" w:space="0" w:color="auto"/>
        <w:bottom w:val="none" w:sz="0" w:space="0" w:color="auto"/>
        <w:right w:val="none" w:sz="0" w:space="0" w:color="auto"/>
      </w:divBdr>
      <w:divsChild>
        <w:div w:id="1740400443">
          <w:marLeft w:val="0"/>
          <w:marRight w:val="0"/>
          <w:marTop w:val="0"/>
          <w:marBottom w:val="0"/>
          <w:divBdr>
            <w:top w:val="none" w:sz="0" w:space="0" w:color="auto"/>
            <w:left w:val="none" w:sz="0" w:space="0" w:color="auto"/>
            <w:bottom w:val="none" w:sz="0" w:space="0" w:color="auto"/>
            <w:right w:val="none" w:sz="0" w:space="0" w:color="auto"/>
          </w:divBdr>
          <w:divsChild>
            <w:div w:id="644042140">
              <w:marLeft w:val="0"/>
              <w:marRight w:val="0"/>
              <w:marTop w:val="0"/>
              <w:marBottom w:val="0"/>
              <w:divBdr>
                <w:top w:val="none" w:sz="0" w:space="0" w:color="auto"/>
                <w:left w:val="none" w:sz="0" w:space="0" w:color="auto"/>
                <w:bottom w:val="none" w:sz="0" w:space="0" w:color="auto"/>
                <w:right w:val="none" w:sz="0" w:space="0" w:color="auto"/>
              </w:divBdr>
              <w:divsChild>
                <w:div w:id="805465160">
                  <w:marLeft w:val="0"/>
                  <w:marRight w:val="0"/>
                  <w:marTop w:val="0"/>
                  <w:marBottom w:val="0"/>
                  <w:divBdr>
                    <w:top w:val="none" w:sz="0" w:space="0" w:color="auto"/>
                    <w:left w:val="none" w:sz="0" w:space="0" w:color="auto"/>
                    <w:bottom w:val="none" w:sz="0" w:space="0" w:color="auto"/>
                    <w:right w:val="none" w:sz="0" w:space="0" w:color="auto"/>
                  </w:divBdr>
                  <w:divsChild>
                    <w:div w:id="4744851">
                      <w:marLeft w:val="0"/>
                      <w:marRight w:val="0"/>
                      <w:marTop w:val="0"/>
                      <w:marBottom w:val="0"/>
                      <w:divBdr>
                        <w:top w:val="none" w:sz="0" w:space="0" w:color="auto"/>
                        <w:left w:val="none" w:sz="0" w:space="0" w:color="auto"/>
                        <w:bottom w:val="none" w:sz="0" w:space="0" w:color="auto"/>
                        <w:right w:val="none" w:sz="0" w:space="0" w:color="auto"/>
                      </w:divBdr>
                      <w:divsChild>
                        <w:div w:id="1247231260">
                          <w:marLeft w:val="0"/>
                          <w:marRight w:val="0"/>
                          <w:marTop w:val="0"/>
                          <w:marBottom w:val="0"/>
                          <w:divBdr>
                            <w:top w:val="none" w:sz="0" w:space="0" w:color="auto"/>
                            <w:left w:val="none" w:sz="0" w:space="0" w:color="auto"/>
                            <w:bottom w:val="none" w:sz="0" w:space="0" w:color="auto"/>
                            <w:right w:val="none" w:sz="0" w:space="0" w:color="auto"/>
                          </w:divBdr>
                          <w:divsChild>
                            <w:div w:id="491064680">
                              <w:marLeft w:val="0"/>
                              <w:marRight w:val="0"/>
                              <w:marTop w:val="0"/>
                              <w:marBottom w:val="0"/>
                              <w:divBdr>
                                <w:top w:val="none" w:sz="0" w:space="0" w:color="auto"/>
                                <w:left w:val="none" w:sz="0" w:space="0" w:color="auto"/>
                                <w:bottom w:val="none" w:sz="0" w:space="0" w:color="auto"/>
                                <w:right w:val="none" w:sz="0" w:space="0" w:color="auto"/>
                              </w:divBdr>
                              <w:divsChild>
                                <w:div w:id="868883095">
                                  <w:marLeft w:val="0"/>
                                  <w:marRight w:val="0"/>
                                  <w:marTop w:val="0"/>
                                  <w:marBottom w:val="0"/>
                                  <w:divBdr>
                                    <w:top w:val="none" w:sz="0" w:space="0" w:color="auto"/>
                                    <w:left w:val="none" w:sz="0" w:space="0" w:color="auto"/>
                                    <w:bottom w:val="none" w:sz="0" w:space="0" w:color="auto"/>
                                    <w:right w:val="none" w:sz="0" w:space="0" w:color="auto"/>
                                  </w:divBdr>
                                  <w:divsChild>
                                    <w:div w:id="151944542">
                                      <w:marLeft w:val="0"/>
                                      <w:marRight w:val="0"/>
                                      <w:marTop w:val="0"/>
                                      <w:marBottom w:val="0"/>
                                      <w:divBdr>
                                        <w:top w:val="none" w:sz="0" w:space="0" w:color="auto"/>
                                        <w:left w:val="none" w:sz="0" w:space="0" w:color="auto"/>
                                        <w:bottom w:val="none" w:sz="0" w:space="0" w:color="auto"/>
                                        <w:right w:val="none" w:sz="0" w:space="0" w:color="auto"/>
                                      </w:divBdr>
                                      <w:divsChild>
                                        <w:div w:id="1156914499">
                                          <w:blockQuote w:val="1"/>
                                          <w:marLeft w:val="720"/>
                                          <w:marRight w:val="720"/>
                                          <w:marTop w:val="100"/>
                                          <w:marBottom w:val="100"/>
                                          <w:divBdr>
                                            <w:top w:val="none" w:sz="0" w:space="0" w:color="auto"/>
                                            <w:left w:val="none" w:sz="0" w:space="0" w:color="auto"/>
                                            <w:bottom w:val="none" w:sz="0" w:space="0" w:color="auto"/>
                                            <w:right w:val="none" w:sz="0" w:space="0" w:color="auto"/>
                                          </w:divBdr>
                                        </w:div>
                                        <w:div w:id="709914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6881249">
      <w:bodyDiv w:val="1"/>
      <w:marLeft w:val="0"/>
      <w:marRight w:val="0"/>
      <w:marTop w:val="0"/>
      <w:marBottom w:val="0"/>
      <w:divBdr>
        <w:top w:val="none" w:sz="0" w:space="0" w:color="auto"/>
        <w:left w:val="none" w:sz="0" w:space="0" w:color="auto"/>
        <w:bottom w:val="none" w:sz="0" w:space="0" w:color="auto"/>
        <w:right w:val="none" w:sz="0" w:space="0" w:color="auto"/>
      </w:divBdr>
    </w:div>
    <w:div w:id="1774789247">
      <w:bodyDiv w:val="1"/>
      <w:marLeft w:val="0"/>
      <w:marRight w:val="0"/>
      <w:marTop w:val="0"/>
      <w:marBottom w:val="0"/>
      <w:divBdr>
        <w:top w:val="none" w:sz="0" w:space="0" w:color="auto"/>
        <w:left w:val="none" w:sz="0" w:space="0" w:color="auto"/>
        <w:bottom w:val="none" w:sz="0" w:space="0" w:color="auto"/>
        <w:right w:val="none" w:sz="0" w:space="0" w:color="auto"/>
      </w:divBdr>
    </w:div>
    <w:div w:id="1781758496">
      <w:bodyDiv w:val="1"/>
      <w:marLeft w:val="0"/>
      <w:marRight w:val="0"/>
      <w:marTop w:val="0"/>
      <w:marBottom w:val="0"/>
      <w:divBdr>
        <w:top w:val="none" w:sz="0" w:space="0" w:color="auto"/>
        <w:left w:val="none" w:sz="0" w:space="0" w:color="auto"/>
        <w:bottom w:val="none" w:sz="0" w:space="0" w:color="auto"/>
        <w:right w:val="none" w:sz="0" w:space="0" w:color="auto"/>
      </w:divBdr>
      <w:divsChild>
        <w:div w:id="143358270">
          <w:marLeft w:val="0"/>
          <w:marRight w:val="0"/>
          <w:marTop w:val="0"/>
          <w:marBottom w:val="0"/>
          <w:divBdr>
            <w:top w:val="none" w:sz="0" w:space="0" w:color="auto"/>
            <w:left w:val="none" w:sz="0" w:space="0" w:color="auto"/>
            <w:bottom w:val="none" w:sz="0" w:space="0" w:color="auto"/>
            <w:right w:val="none" w:sz="0" w:space="0" w:color="auto"/>
          </w:divBdr>
          <w:divsChild>
            <w:div w:id="1413771219">
              <w:marLeft w:val="0"/>
              <w:marRight w:val="0"/>
              <w:marTop w:val="0"/>
              <w:marBottom w:val="0"/>
              <w:divBdr>
                <w:top w:val="none" w:sz="0" w:space="0" w:color="auto"/>
                <w:left w:val="none" w:sz="0" w:space="0" w:color="auto"/>
                <w:bottom w:val="none" w:sz="0" w:space="0" w:color="auto"/>
                <w:right w:val="none" w:sz="0" w:space="0" w:color="auto"/>
              </w:divBdr>
              <w:divsChild>
                <w:div w:id="1816490778">
                  <w:marLeft w:val="0"/>
                  <w:marRight w:val="0"/>
                  <w:marTop w:val="0"/>
                  <w:marBottom w:val="0"/>
                  <w:divBdr>
                    <w:top w:val="none" w:sz="0" w:space="0" w:color="auto"/>
                    <w:left w:val="none" w:sz="0" w:space="0" w:color="auto"/>
                    <w:bottom w:val="none" w:sz="0" w:space="0" w:color="auto"/>
                    <w:right w:val="none" w:sz="0" w:space="0" w:color="auto"/>
                  </w:divBdr>
                  <w:divsChild>
                    <w:div w:id="992027840">
                      <w:marLeft w:val="0"/>
                      <w:marRight w:val="0"/>
                      <w:marTop w:val="0"/>
                      <w:marBottom w:val="0"/>
                      <w:divBdr>
                        <w:top w:val="none" w:sz="0" w:space="0" w:color="auto"/>
                        <w:left w:val="none" w:sz="0" w:space="0" w:color="auto"/>
                        <w:bottom w:val="none" w:sz="0" w:space="0" w:color="auto"/>
                        <w:right w:val="none" w:sz="0" w:space="0" w:color="auto"/>
                      </w:divBdr>
                      <w:divsChild>
                        <w:div w:id="330836536">
                          <w:marLeft w:val="0"/>
                          <w:marRight w:val="0"/>
                          <w:marTop w:val="0"/>
                          <w:marBottom w:val="0"/>
                          <w:divBdr>
                            <w:top w:val="none" w:sz="0" w:space="0" w:color="auto"/>
                            <w:left w:val="none" w:sz="0" w:space="0" w:color="auto"/>
                            <w:bottom w:val="none" w:sz="0" w:space="0" w:color="auto"/>
                            <w:right w:val="none" w:sz="0" w:space="0" w:color="auto"/>
                          </w:divBdr>
                          <w:divsChild>
                            <w:div w:id="1437945565">
                              <w:marLeft w:val="0"/>
                              <w:marRight w:val="0"/>
                              <w:marTop w:val="0"/>
                              <w:marBottom w:val="0"/>
                              <w:divBdr>
                                <w:top w:val="none" w:sz="0" w:space="0" w:color="auto"/>
                                <w:left w:val="none" w:sz="0" w:space="0" w:color="auto"/>
                                <w:bottom w:val="none" w:sz="0" w:space="0" w:color="auto"/>
                                <w:right w:val="none" w:sz="0" w:space="0" w:color="auto"/>
                              </w:divBdr>
                              <w:divsChild>
                                <w:div w:id="2000034143">
                                  <w:marLeft w:val="0"/>
                                  <w:marRight w:val="0"/>
                                  <w:marTop w:val="0"/>
                                  <w:marBottom w:val="0"/>
                                  <w:divBdr>
                                    <w:top w:val="none" w:sz="0" w:space="0" w:color="auto"/>
                                    <w:left w:val="none" w:sz="0" w:space="0" w:color="auto"/>
                                    <w:bottom w:val="none" w:sz="0" w:space="0" w:color="auto"/>
                                    <w:right w:val="none" w:sz="0" w:space="0" w:color="auto"/>
                                  </w:divBdr>
                                  <w:divsChild>
                                    <w:div w:id="185225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050377">
      <w:bodyDiv w:val="1"/>
      <w:marLeft w:val="0"/>
      <w:marRight w:val="0"/>
      <w:marTop w:val="0"/>
      <w:marBottom w:val="0"/>
      <w:divBdr>
        <w:top w:val="none" w:sz="0" w:space="0" w:color="auto"/>
        <w:left w:val="none" w:sz="0" w:space="0" w:color="auto"/>
        <w:bottom w:val="none" w:sz="0" w:space="0" w:color="auto"/>
        <w:right w:val="none" w:sz="0" w:space="0" w:color="auto"/>
      </w:divBdr>
    </w:div>
    <w:div w:id="1797142432">
      <w:bodyDiv w:val="1"/>
      <w:marLeft w:val="0"/>
      <w:marRight w:val="0"/>
      <w:marTop w:val="0"/>
      <w:marBottom w:val="0"/>
      <w:divBdr>
        <w:top w:val="none" w:sz="0" w:space="0" w:color="auto"/>
        <w:left w:val="none" w:sz="0" w:space="0" w:color="auto"/>
        <w:bottom w:val="none" w:sz="0" w:space="0" w:color="auto"/>
        <w:right w:val="none" w:sz="0" w:space="0" w:color="auto"/>
      </w:divBdr>
    </w:div>
    <w:div w:id="1806384712">
      <w:bodyDiv w:val="1"/>
      <w:marLeft w:val="0"/>
      <w:marRight w:val="0"/>
      <w:marTop w:val="0"/>
      <w:marBottom w:val="0"/>
      <w:divBdr>
        <w:top w:val="none" w:sz="0" w:space="0" w:color="auto"/>
        <w:left w:val="none" w:sz="0" w:space="0" w:color="auto"/>
        <w:bottom w:val="none" w:sz="0" w:space="0" w:color="auto"/>
        <w:right w:val="none" w:sz="0" w:space="0" w:color="auto"/>
      </w:divBdr>
    </w:div>
    <w:div w:id="1864896346">
      <w:bodyDiv w:val="1"/>
      <w:marLeft w:val="0"/>
      <w:marRight w:val="0"/>
      <w:marTop w:val="0"/>
      <w:marBottom w:val="0"/>
      <w:divBdr>
        <w:top w:val="none" w:sz="0" w:space="0" w:color="auto"/>
        <w:left w:val="none" w:sz="0" w:space="0" w:color="auto"/>
        <w:bottom w:val="none" w:sz="0" w:space="0" w:color="auto"/>
        <w:right w:val="none" w:sz="0" w:space="0" w:color="auto"/>
      </w:divBdr>
      <w:divsChild>
        <w:div w:id="1981618475">
          <w:marLeft w:val="0"/>
          <w:marRight w:val="0"/>
          <w:marTop w:val="0"/>
          <w:marBottom w:val="0"/>
          <w:divBdr>
            <w:top w:val="none" w:sz="0" w:space="0" w:color="auto"/>
            <w:left w:val="none" w:sz="0" w:space="0" w:color="auto"/>
            <w:bottom w:val="none" w:sz="0" w:space="0" w:color="auto"/>
            <w:right w:val="none" w:sz="0" w:space="0" w:color="auto"/>
          </w:divBdr>
          <w:divsChild>
            <w:div w:id="656806342">
              <w:marLeft w:val="0"/>
              <w:marRight w:val="0"/>
              <w:marTop w:val="0"/>
              <w:marBottom w:val="0"/>
              <w:divBdr>
                <w:top w:val="none" w:sz="0" w:space="0" w:color="auto"/>
                <w:left w:val="none" w:sz="0" w:space="0" w:color="auto"/>
                <w:bottom w:val="none" w:sz="0" w:space="0" w:color="auto"/>
                <w:right w:val="none" w:sz="0" w:space="0" w:color="auto"/>
              </w:divBdr>
            </w:div>
            <w:div w:id="1702978916">
              <w:marLeft w:val="0"/>
              <w:marRight w:val="0"/>
              <w:marTop w:val="0"/>
              <w:marBottom w:val="0"/>
              <w:divBdr>
                <w:top w:val="none" w:sz="0" w:space="0" w:color="auto"/>
                <w:left w:val="none" w:sz="0" w:space="0" w:color="auto"/>
                <w:bottom w:val="none" w:sz="0" w:space="0" w:color="auto"/>
                <w:right w:val="none" w:sz="0" w:space="0" w:color="auto"/>
              </w:divBdr>
            </w:div>
            <w:div w:id="662052805">
              <w:marLeft w:val="0"/>
              <w:marRight w:val="0"/>
              <w:marTop w:val="0"/>
              <w:marBottom w:val="0"/>
              <w:divBdr>
                <w:top w:val="none" w:sz="0" w:space="0" w:color="auto"/>
                <w:left w:val="none" w:sz="0" w:space="0" w:color="auto"/>
                <w:bottom w:val="none" w:sz="0" w:space="0" w:color="auto"/>
                <w:right w:val="none" w:sz="0" w:space="0" w:color="auto"/>
              </w:divBdr>
              <w:divsChild>
                <w:div w:id="1539204027">
                  <w:marLeft w:val="0"/>
                  <w:marRight w:val="0"/>
                  <w:marTop w:val="0"/>
                  <w:marBottom w:val="0"/>
                  <w:divBdr>
                    <w:top w:val="none" w:sz="0" w:space="0" w:color="auto"/>
                    <w:left w:val="none" w:sz="0" w:space="0" w:color="auto"/>
                    <w:bottom w:val="none" w:sz="0" w:space="0" w:color="auto"/>
                    <w:right w:val="none" w:sz="0" w:space="0" w:color="auto"/>
                  </w:divBdr>
                  <w:divsChild>
                    <w:div w:id="1857956986">
                      <w:marLeft w:val="0"/>
                      <w:marRight w:val="0"/>
                      <w:marTop w:val="0"/>
                      <w:marBottom w:val="0"/>
                      <w:divBdr>
                        <w:top w:val="none" w:sz="0" w:space="0" w:color="auto"/>
                        <w:left w:val="none" w:sz="0" w:space="0" w:color="auto"/>
                        <w:bottom w:val="none" w:sz="0" w:space="0" w:color="auto"/>
                        <w:right w:val="none" w:sz="0" w:space="0" w:color="auto"/>
                      </w:divBdr>
                      <w:divsChild>
                        <w:div w:id="134023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976238">
              <w:marLeft w:val="0"/>
              <w:marRight w:val="0"/>
              <w:marTop w:val="0"/>
              <w:marBottom w:val="0"/>
              <w:divBdr>
                <w:top w:val="none" w:sz="0" w:space="0" w:color="auto"/>
                <w:left w:val="none" w:sz="0" w:space="0" w:color="auto"/>
                <w:bottom w:val="none" w:sz="0" w:space="0" w:color="auto"/>
                <w:right w:val="none" w:sz="0" w:space="0" w:color="auto"/>
              </w:divBdr>
              <w:divsChild>
                <w:div w:id="121531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36550">
          <w:marLeft w:val="0"/>
          <w:marRight w:val="0"/>
          <w:marTop w:val="0"/>
          <w:marBottom w:val="0"/>
          <w:divBdr>
            <w:top w:val="none" w:sz="0" w:space="0" w:color="auto"/>
            <w:left w:val="none" w:sz="0" w:space="0" w:color="auto"/>
            <w:bottom w:val="none" w:sz="0" w:space="0" w:color="auto"/>
            <w:right w:val="none" w:sz="0" w:space="0" w:color="auto"/>
          </w:divBdr>
          <w:divsChild>
            <w:div w:id="1767461356">
              <w:marLeft w:val="0"/>
              <w:marRight w:val="0"/>
              <w:marTop w:val="0"/>
              <w:marBottom w:val="0"/>
              <w:divBdr>
                <w:top w:val="none" w:sz="0" w:space="0" w:color="auto"/>
                <w:left w:val="none" w:sz="0" w:space="0" w:color="auto"/>
                <w:bottom w:val="none" w:sz="0" w:space="0" w:color="auto"/>
                <w:right w:val="none" w:sz="0" w:space="0" w:color="auto"/>
              </w:divBdr>
              <w:divsChild>
                <w:div w:id="33314474">
                  <w:marLeft w:val="0"/>
                  <w:marRight w:val="0"/>
                  <w:marTop w:val="0"/>
                  <w:marBottom w:val="0"/>
                  <w:divBdr>
                    <w:top w:val="none" w:sz="0" w:space="0" w:color="auto"/>
                    <w:left w:val="none" w:sz="0" w:space="0" w:color="auto"/>
                    <w:bottom w:val="none" w:sz="0" w:space="0" w:color="auto"/>
                    <w:right w:val="none" w:sz="0" w:space="0" w:color="auto"/>
                  </w:divBdr>
                  <w:divsChild>
                    <w:div w:id="3317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532976">
      <w:bodyDiv w:val="1"/>
      <w:marLeft w:val="0"/>
      <w:marRight w:val="0"/>
      <w:marTop w:val="0"/>
      <w:marBottom w:val="0"/>
      <w:divBdr>
        <w:top w:val="none" w:sz="0" w:space="0" w:color="auto"/>
        <w:left w:val="none" w:sz="0" w:space="0" w:color="auto"/>
        <w:bottom w:val="none" w:sz="0" w:space="0" w:color="auto"/>
        <w:right w:val="none" w:sz="0" w:space="0" w:color="auto"/>
      </w:divBdr>
    </w:div>
    <w:div w:id="1905294246">
      <w:bodyDiv w:val="1"/>
      <w:marLeft w:val="0"/>
      <w:marRight w:val="0"/>
      <w:marTop w:val="0"/>
      <w:marBottom w:val="0"/>
      <w:divBdr>
        <w:top w:val="none" w:sz="0" w:space="0" w:color="auto"/>
        <w:left w:val="none" w:sz="0" w:space="0" w:color="auto"/>
        <w:bottom w:val="none" w:sz="0" w:space="0" w:color="auto"/>
        <w:right w:val="none" w:sz="0" w:space="0" w:color="auto"/>
      </w:divBdr>
      <w:divsChild>
        <w:div w:id="803935937">
          <w:marLeft w:val="0"/>
          <w:marRight w:val="0"/>
          <w:marTop w:val="0"/>
          <w:marBottom w:val="0"/>
          <w:divBdr>
            <w:top w:val="none" w:sz="0" w:space="0" w:color="auto"/>
            <w:left w:val="none" w:sz="0" w:space="0" w:color="auto"/>
            <w:bottom w:val="none" w:sz="0" w:space="0" w:color="auto"/>
            <w:right w:val="none" w:sz="0" w:space="0" w:color="auto"/>
          </w:divBdr>
          <w:divsChild>
            <w:div w:id="1483811437">
              <w:marLeft w:val="0"/>
              <w:marRight w:val="0"/>
              <w:marTop w:val="0"/>
              <w:marBottom w:val="0"/>
              <w:divBdr>
                <w:top w:val="none" w:sz="0" w:space="0" w:color="auto"/>
                <w:left w:val="none" w:sz="0" w:space="0" w:color="auto"/>
                <w:bottom w:val="none" w:sz="0" w:space="0" w:color="auto"/>
                <w:right w:val="none" w:sz="0" w:space="0" w:color="auto"/>
              </w:divBdr>
              <w:divsChild>
                <w:div w:id="1076627479">
                  <w:marLeft w:val="0"/>
                  <w:marRight w:val="0"/>
                  <w:marTop w:val="0"/>
                  <w:marBottom w:val="0"/>
                  <w:divBdr>
                    <w:top w:val="none" w:sz="0" w:space="0" w:color="auto"/>
                    <w:left w:val="none" w:sz="0" w:space="0" w:color="auto"/>
                    <w:bottom w:val="none" w:sz="0" w:space="0" w:color="auto"/>
                    <w:right w:val="none" w:sz="0" w:space="0" w:color="auto"/>
                  </w:divBdr>
                  <w:divsChild>
                    <w:div w:id="150932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572246">
      <w:bodyDiv w:val="1"/>
      <w:marLeft w:val="0"/>
      <w:marRight w:val="0"/>
      <w:marTop w:val="0"/>
      <w:marBottom w:val="0"/>
      <w:divBdr>
        <w:top w:val="none" w:sz="0" w:space="0" w:color="auto"/>
        <w:left w:val="none" w:sz="0" w:space="0" w:color="auto"/>
        <w:bottom w:val="none" w:sz="0" w:space="0" w:color="auto"/>
        <w:right w:val="none" w:sz="0" w:space="0" w:color="auto"/>
      </w:divBdr>
    </w:div>
    <w:div w:id="1914391187">
      <w:bodyDiv w:val="1"/>
      <w:marLeft w:val="0"/>
      <w:marRight w:val="0"/>
      <w:marTop w:val="0"/>
      <w:marBottom w:val="0"/>
      <w:divBdr>
        <w:top w:val="none" w:sz="0" w:space="0" w:color="auto"/>
        <w:left w:val="none" w:sz="0" w:space="0" w:color="auto"/>
        <w:bottom w:val="none" w:sz="0" w:space="0" w:color="auto"/>
        <w:right w:val="none" w:sz="0" w:space="0" w:color="auto"/>
      </w:divBdr>
    </w:div>
    <w:div w:id="1927230420">
      <w:bodyDiv w:val="1"/>
      <w:marLeft w:val="0"/>
      <w:marRight w:val="0"/>
      <w:marTop w:val="0"/>
      <w:marBottom w:val="0"/>
      <w:divBdr>
        <w:top w:val="none" w:sz="0" w:space="0" w:color="auto"/>
        <w:left w:val="none" w:sz="0" w:space="0" w:color="auto"/>
        <w:bottom w:val="none" w:sz="0" w:space="0" w:color="auto"/>
        <w:right w:val="none" w:sz="0" w:space="0" w:color="auto"/>
      </w:divBdr>
    </w:div>
    <w:div w:id="1988048160">
      <w:bodyDiv w:val="1"/>
      <w:marLeft w:val="0"/>
      <w:marRight w:val="0"/>
      <w:marTop w:val="0"/>
      <w:marBottom w:val="0"/>
      <w:divBdr>
        <w:top w:val="none" w:sz="0" w:space="0" w:color="auto"/>
        <w:left w:val="none" w:sz="0" w:space="0" w:color="auto"/>
        <w:bottom w:val="none" w:sz="0" w:space="0" w:color="auto"/>
        <w:right w:val="none" w:sz="0" w:space="0" w:color="auto"/>
      </w:divBdr>
    </w:div>
    <w:div w:id="2004384562">
      <w:bodyDiv w:val="1"/>
      <w:marLeft w:val="0"/>
      <w:marRight w:val="0"/>
      <w:marTop w:val="0"/>
      <w:marBottom w:val="0"/>
      <w:divBdr>
        <w:top w:val="none" w:sz="0" w:space="0" w:color="auto"/>
        <w:left w:val="none" w:sz="0" w:space="0" w:color="auto"/>
        <w:bottom w:val="none" w:sz="0" w:space="0" w:color="auto"/>
        <w:right w:val="none" w:sz="0" w:space="0" w:color="auto"/>
      </w:divBdr>
    </w:div>
    <w:div w:id="2011253699">
      <w:bodyDiv w:val="1"/>
      <w:marLeft w:val="0"/>
      <w:marRight w:val="0"/>
      <w:marTop w:val="0"/>
      <w:marBottom w:val="0"/>
      <w:divBdr>
        <w:top w:val="none" w:sz="0" w:space="0" w:color="auto"/>
        <w:left w:val="none" w:sz="0" w:space="0" w:color="auto"/>
        <w:bottom w:val="none" w:sz="0" w:space="0" w:color="auto"/>
        <w:right w:val="none" w:sz="0" w:space="0" w:color="auto"/>
      </w:divBdr>
    </w:div>
    <w:div w:id="2043900180">
      <w:bodyDiv w:val="1"/>
      <w:marLeft w:val="0"/>
      <w:marRight w:val="0"/>
      <w:marTop w:val="0"/>
      <w:marBottom w:val="0"/>
      <w:divBdr>
        <w:top w:val="none" w:sz="0" w:space="0" w:color="auto"/>
        <w:left w:val="none" w:sz="0" w:space="0" w:color="auto"/>
        <w:bottom w:val="none" w:sz="0" w:space="0" w:color="auto"/>
        <w:right w:val="none" w:sz="0" w:space="0" w:color="auto"/>
      </w:divBdr>
    </w:div>
    <w:div w:id="2046907806">
      <w:bodyDiv w:val="1"/>
      <w:marLeft w:val="0"/>
      <w:marRight w:val="0"/>
      <w:marTop w:val="0"/>
      <w:marBottom w:val="0"/>
      <w:divBdr>
        <w:top w:val="none" w:sz="0" w:space="0" w:color="auto"/>
        <w:left w:val="none" w:sz="0" w:space="0" w:color="auto"/>
        <w:bottom w:val="none" w:sz="0" w:space="0" w:color="auto"/>
        <w:right w:val="none" w:sz="0" w:space="0" w:color="auto"/>
      </w:divBdr>
    </w:div>
    <w:div w:id="2049641192">
      <w:bodyDiv w:val="1"/>
      <w:marLeft w:val="0"/>
      <w:marRight w:val="0"/>
      <w:marTop w:val="0"/>
      <w:marBottom w:val="0"/>
      <w:divBdr>
        <w:top w:val="none" w:sz="0" w:space="0" w:color="auto"/>
        <w:left w:val="none" w:sz="0" w:space="0" w:color="auto"/>
        <w:bottom w:val="none" w:sz="0" w:space="0" w:color="auto"/>
        <w:right w:val="none" w:sz="0" w:space="0" w:color="auto"/>
      </w:divBdr>
    </w:div>
    <w:div w:id="2075814054">
      <w:bodyDiv w:val="1"/>
      <w:marLeft w:val="0"/>
      <w:marRight w:val="0"/>
      <w:marTop w:val="0"/>
      <w:marBottom w:val="0"/>
      <w:divBdr>
        <w:top w:val="none" w:sz="0" w:space="0" w:color="auto"/>
        <w:left w:val="none" w:sz="0" w:space="0" w:color="auto"/>
        <w:bottom w:val="none" w:sz="0" w:space="0" w:color="auto"/>
        <w:right w:val="none" w:sz="0" w:space="0" w:color="auto"/>
      </w:divBdr>
    </w:div>
    <w:div w:id="2120292421">
      <w:bodyDiv w:val="1"/>
      <w:marLeft w:val="0"/>
      <w:marRight w:val="0"/>
      <w:marTop w:val="0"/>
      <w:marBottom w:val="0"/>
      <w:divBdr>
        <w:top w:val="none" w:sz="0" w:space="0" w:color="auto"/>
        <w:left w:val="none" w:sz="0" w:space="0" w:color="auto"/>
        <w:bottom w:val="none" w:sz="0" w:space="0" w:color="auto"/>
        <w:right w:val="none" w:sz="0" w:space="0" w:color="auto"/>
      </w:divBdr>
      <w:divsChild>
        <w:div w:id="713695444">
          <w:marLeft w:val="0"/>
          <w:marRight w:val="0"/>
          <w:marTop w:val="0"/>
          <w:marBottom w:val="0"/>
          <w:divBdr>
            <w:top w:val="none" w:sz="0" w:space="0" w:color="auto"/>
            <w:left w:val="none" w:sz="0" w:space="0" w:color="auto"/>
            <w:bottom w:val="none" w:sz="0" w:space="0" w:color="auto"/>
            <w:right w:val="none" w:sz="0" w:space="0" w:color="auto"/>
          </w:divBdr>
          <w:divsChild>
            <w:div w:id="1105266993">
              <w:marLeft w:val="0"/>
              <w:marRight w:val="0"/>
              <w:marTop w:val="0"/>
              <w:marBottom w:val="0"/>
              <w:divBdr>
                <w:top w:val="none" w:sz="0" w:space="0" w:color="auto"/>
                <w:left w:val="none" w:sz="0" w:space="0" w:color="auto"/>
                <w:bottom w:val="none" w:sz="0" w:space="0" w:color="auto"/>
                <w:right w:val="none" w:sz="0" w:space="0" w:color="auto"/>
              </w:divBdr>
              <w:divsChild>
                <w:div w:id="277638267">
                  <w:marLeft w:val="0"/>
                  <w:marRight w:val="0"/>
                  <w:marTop w:val="0"/>
                  <w:marBottom w:val="0"/>
                  <w:divBdr>
                    <w:top w:val="none" w:sz="0" w:space="0" w:color="auto"/>
                    <w:left w:val="none" w:sz="0" w:space="0" w:color="auto"/>
                    <w:bottom w:val="none" w:sz="0" w:space="0" w:color="auto"/>
                    <w:right w:val="none" w:sz="0" w:space="0" w:color="auto"/>
                  </w:divBdr>
                  <w:divsChild>
                    <w:div w:id="365718993">
                      <w:marLeft w:val="0"/>
                      <w:marRight w:val="0"/>
                      <w:marTop w:val="0"/>
                      <w:marBottom w:val="0"/>
                      <w:divBdr>
                        <w:top w:val="none" w:sz="0" w:space="0" w:color="auto"/>
                        <w:left w:val="none" w:sz="0" w:space="0" w:color="auto"/>
                        <w:bottom w:val="none" w:sz="0" w:space="0" w:color="auto"/>
                        <w:right w:val="none" w:sz="0" w:space="0" w:color="auto"/>
                      </w:divBdr>
                      <w:divsChild>
                        <w:div w:id="945428162">
                          <w:marLeft w:val="0"/>
                          <w:marRight w:val="0"/>
                          <w:marTop w:val="0"/>
                          <w:marBottom w:val="0"/>
                          <w:divBdr>
                            <w:top w:val="none" w:sz="0" w:space="0" w:color="auto"/>
                            <w:left w:val="none" w:sz="0" w:space="0" w:color="auto"/>
                            <w:bottom w:val="none" w:sz="0" w:space="0" w:color="auto"/>
                            <w:right w:val="none" w:sz="0" w:space="0" w:color="auto"/>
                          </w:divBdr>
                          <w:divsChild>
                            <w:div w:id="1757365157">
                              <w:marLeft w:val="0"/>
                              <w:marRight w:val="0"/>
                              <w:marTop w:val="0"/>
                              <w:marBottom w:val="0"/>
                              <w:divBdr>
                                <w:top w:val="none" w:sz="0" w:space="0" w:color="auto"/>
                                <w:left w:val="none" w:sz="0" w:space="0" w:color="auto"/>
                                <w:bottom w:val="none" w:sz="0" w:space="0" w:color="auto"/>
                                <w:right w:val="none" w:sz="0" w:space="0" w:color="auto"/>
                              </w:divBdr>
                              <w:divsChild>
                                <w:div w:id="1842969755">
                                  <w:marLeft w:val="0"/>
                                  <w:marRight w:val="0"/>
                                  <w:marTop w:val="0"/>
                                  <w:marBottom w:val="0"/>
                                  <w:divBdr>
                                    <w:top w:val="none" w:sz="0" w:space="0" w:color="auto"/>
                                    <w:left w:val="none" w:sz="0" w:space="0" w:color="auto"/>
                                    <w:bottom w:val="none" w:sz="0" w:space="0" w:color="auto"/>
                                    <w:right w:val="none" w:sz="0" w:space="0" w:color="auto"/>
                                  </w:divBdr>
                                  <w:divsChild>
                                    <w:div w:id="1222016038">
                                      <w:marLeft w:val="0"/>
                                      <w:marRight w:val="0"/>
                                      <w:marTop w:val="0"/>
                                      <w:marBottom w:val="0"/>
                                      <w:divBdr>
                                        <w:top w:val="none" w:sz="0" w:space="0" w:color="auto"/>
                                        <w:left w:val="none" w:sz="0" w:space="0" w:color="auto"/>
                                        <w:bottom w:val="none" w:sz="0" w:space="0" w:color="auto"/>
                                        <w:right w:val="none" w:sz="0" w:space="0" w:color="auto"/>
                                      </w:divBdr>
                                      <w:divsChild>
                                        <w:div w:id="689989400">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01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330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C3B17E-6E46-42A9-AEDC-0ECEF8D56349}" type="doc">
      <dgm:prSet loTypeId="urn:microsoft.com/office/officeart/2005/8/layout/cycle3" loCatId="cycle" qsTypeId="urn:microsoft.com/office/officeart/2005/8/quickstyle/simple1" qsCatId="simple" csTypeId="urn:microsoft.com/office/officeart/2005/8/colors/colorful2" csCatId="colorful" phldr="1"/>
      <dgm:spPr/>
      <dgm:t>
        <a:bodyPr/>
        <a:lstStyle/>
        <a:p>
          <a:endParaRPr lang="en-150"/>
        </a:p>
      </dgm:t>
    </dgm:pt>
    <dgm:pt modelId="{4AA9E52F-0EAF-4170-A634-A843F041C7AF}">
      <dgm:prSet phldrT="[Text]"/>
      <dgm:spPr/>
      <dgm:t>
        <a:bodyPr/>
        <a:lstStyle/>
        <a:p>
          <a:r>
            <a:rPr lang="en-GB"/>
            <a:t>B. Mapear el panel de expertos</a:t>
          </a:r>
          <a:endParaRPr lang="en-150"/>
        </a:p>
      </dgm:t>
    </dgm:pt>
    <dgm:pt modelId="{58734197-9300-4416-B797-03D66648BBF5}" type="parTrans" cxnId="{8B835D90-2012-419B-895A-6893BC72D18D}">
      <dgm:prSet/>
      <dgm:spPr/>
      <dgm:t>
        <a:bodyPr/>
        <a:lstStyle/>
        <a:p>
          <a:endParaRPr lang="en-150"/>
        </a:p>
      </dgm:t>
    </dgm:pt>
    <dgm:pt modelId="{568278D5-555F-4980-A10A-32D68C920340}" type="sibTrans" cxnId="{8B835D90-2012-419B-895A-6893BC72D18D}">
      <dgm:prSet/>
      <dgm:spPr/>
      <dgm:t>
        <a:bodyPr/>
        <a:lstStyle/>
        <a:p>
          <a:endParaRPr lang="en-150"/>
        </a:p>
      </dgm:t>
    </dgm:pt>
    <dgm:pt modelId="{F66D1FD2-77E4-4988-91F6-CBD561F204AB}">
      <dgm:prSet phldrT="[Text]"/>
      <dgm:spPr>
        <a:solidFill>
          <a:srgbClr val="E69740"/>
        </a:solidFill>
      </dgm:spPr>
      <dgm:t>
        <a:bodyPr/>
        <a:lstStyle/>
        <a:p>
          <a:r>
            <a:rPr lang="en-GB"/>
            <a:t>C. Puntuación inicial y justificación</a:t>
          </a:r>
          <a:endParaRPr lang="en-150"/>
        </a:p>
      </dgm:t>
    </dgm:pt>
    <dgm:pt modelId="{001953FB-B6B1-46EA-AFA2-BB6FF354CD11}" type="parTrans" cxnId="{D384BDFC-FDC2-418E-B76A-48573A17561F}">
      <dgm:prSet/>
      <dgm:spPr/>
      <dgm:t>
        <a:bodyPr/>
        <a:lstStyle/>
        <a:p>
          <a:endParaRPr lang="en-150"/>
        </a:p>
      </dgm:t>
    </dgm:pt>
    <dgm:pt modelId="{20A55BC2-5077-4795-BC32-18D879E3AC59}" type="sibTrans" cxnId="{D384BDFC-FDC2-418E-B76A-48573A17561F}">
      <dgm:prSet/>
      <dgm:spPr/>
      <dgm:t>
        <a:bodyPr/>
        <a:lstStyle/>
        <a:p>
          <a:endParaRPr lang="en-150"/>
        </a:p>
      </dgm:t>
    </dgm:pt>
    <dgm:pt modelId="{3F9F4872-47AB-48A2-B2C4-C74BF0B2D5C1}">
      <dgm:prSet phldrT="[Text]"/>
      <dgm:spPr>
        <a:solidFill>
          <a:srgbClr val="E1DE50"/>
        </a:solidFill>
      </dgm:spPr>
      <dgm:t>
        <a:bodyPr/>
        <a:lstStyle/>
        <a:p>
          <a:r>
            <a:rPr lang="en-GB"/>
            <a:t>E. Control de Calidad e intercambio con el consorcio sobre las puntuaciones</a:t>
          </a:r>
          <a:endParaRPr lang="en-150"/>
        </a:p>
      </dgm:t>
    </dgm:pt>
    <dgm:pt modelId="{47098AC6-00C9-4691-9FB9-46BACEE47B4C}" type="parTrans" cxnId="{4FE8F06F-106B-4CA2-87CB-DA1010BE34CD}">
      <dgm:prSet/>
      <dgm:spPr/>
      <dgm:t>
        <a:bodyPr/>
        <a:lstStyle/>
        <a:p>
          <a:endParaRPr lang="en-150"/>
        </a:p>
      </dgm:t>
    </dgm:pt>
    <dgm:pt modelId="{23E82CF6-5228-45D6-9416-53F3C8D03E77}" type="sibTrans" cxnId="{4FE8F06F-106B-4CA2-87CB-DA1010BE34CD}">
      <dgm:prSet/>
      <dgm:spPr/>
      <dgm:t>
        <a:bodyPr/>
        <a:lstStyle/>
        <a:p>
          <a:endParaRPr lang="en-150"/>
        </a:p>
      </dgm:t>
    </dgm:pt>
    <dgm:pt modelId="{954843B5-E2B3-4AFF-BFA0-D692B6C286E4}">
      <dgm:prSet phldrT="[Text]"/>
      <dgm:spPr>
        <a:solidFill>
          <a:srgbClr val="C5D75B"/>
        </a:solidFill>
      </dgm:spPr>
      <dgm:t>
        <a:bodyPr/>
        <a:lstStyle/>
        <a:p>
          <a:r>
            <a:rPr lang="en-GB"/>
            <a:t>F. Agregar puntuaciones por dimensión/principio</a:t>
          </a:r>
          <a:endParaRPr lang="en-150"/>
        </a:p>
      </dgm:t>
    </dgm:pt>
    <dgm:pt modelId="{46A6D6F4-71C6-4C1C-B60F-18AAAFCDF898}" type="parTrans" cxnId="{A82CD296-5625-4C3B-8B4D-90939EB33F60}">
      <dgm:prSet/>
      <dgm:spPr/>
      <dgm:t>
        <a:bodyPr/>
        <a:lstStyle/>
        <a:p>
          <a:endParaRPr lang="en-150"/>
        </a:p>
      </dgm:t>
    </dgm:pt>
    <dgm:pt modelId="{37EBCDDE-726A-49AD-B164-BA41159C81E5}" type="sibTrans" cxnId="{A82CD296-5625-4C3B-8B4D-90939EB33F60}">
      <dgm:prSet/>
      <dgm:spPr/>
      <dgm:t>
        <a:bodyPr/>
        <a:lstStyle/>
        <a:p>
          <a:endParaRPr lang="en-150"/>
        </a:p>
      </dgm:t>
    </dgm:pt>
    <dgm:pt modelId="{9B389289-560A-4511-98B9-6A337C2FCC29}">
      <dgm:prSet phldrT="[Text]"/>
      <dgm:spPr>
        <a:solidFill>
          <a:srgbClr val="98D561"/>
        </a:solidFill>
      </dgm:spPr>
      <dgm:t>
        <a:bodyPr/>
        <a:lstStyle/>
        <a:p>
          <a:r>
            <a:rPr lang="en-GB"/>
            <a:t>G. Redactar informe narrativo</a:t>
          </a:r>
          <a:endParaRPr lang="en-150"/>
        </a:p>
      </dgm:t>
    </dgm:pt>
    <dgm:pt modelId="{EC49A6E9-82A1-4F23-891B-D80A4A480C79}" type="parTrans" cxnId="{3A4FD9F8-12CB-49F8-8F5E-7D78C3600619}">
      <dgm:prSet/>
      <dgm:spPr/>
      <dgm:t>
        <a:bodyPr/>
        <a:lstStyle/>
        <a:p>
          <a:endParaRPr lang="en-150"/>
        </a:p>
      </dgm:t>
    </dgm:pt>
    <dgm:pt modelId="{C8BF2578-7DBE-4C43-BF10-C6C74486CDA3}" type="sibTrans" cxnId="{3A4FD9F8-12CB-49F8-8F5E-7D78C3600619}">
      <dgm:prSet/>
      <dgm:spPr/>
      <dgm:t>
        <a:bodyPr/>
        <a:lstStyle/>
        <a:p>
          <a:endParaRPr lang="en-150"/>
        </a:p>
      </dgm:t>
    </dgm:pt>
    <dgm:pt modelId="{30E0163B-E0C3-4BF4-A1BA-5857661E0C17}">
      <dgm:prSet/>
      <dgm:spPr>
        <a:solidFill>
          <a:srgbClr val="82CD6D"/>
        </a:solidFill>
      </dgm:spPr>
      <dgm:t>
        <a:bodyPr/>
        <a:lstStyle/>
        <a:p>
          <a:r>
            <a:rPr lang="en-GB"/>
            <a:t>H. Control de calidad</a:t>
          </a:r>
          <a:endParaRPr lang="en-150"/>
        </a:p>
      </dgm:t>
    </dgm:pt>
    <dgm:pt modelId="{9AFE5224-4EE2-4CF3-92FA-B247435F66ED}" type="parTrans" cxnId="{2CBFA72B-3216-4701-A501-796476488B09}">
      <dgm:prSet/>
      <dgm:spPr/>
      <dgm:t>
        <a:bodyPr/>
        <a:lstStyle/>
        <a:p>
          <a:endParaRPr lang="en-150"/>
        </a:p>
      </dgm:t>
    </dgm:pt>
    <dgm:pt modelId="{035F8185-0F1A-47D2-BEA1-3491932C3C6D}" type="sibTrans" cxnId="{2CBFA72B-3216-4701-A501-796476488B09}">
      <dgm:prSet/>
      <dgm:spPr/>
      <dgm:t>
        <a:bodyPr/>
        <a:lstStyle/>
        <a:p>
          <a:endParaRPr lang="en-150"/>
        </a:p>
      </dgm:t>
    </dgm:pt>
    <dgm:pt modelId="{FF7C18B5-CB91-4A63-85E2-D25C7A912DC1}">
      <dgm:prSet/>
      <dgm:spPr>
        <a:solidFill>
          <a:srgbClr val="54CD47"/>
        </a:solidFill>
      </dgm:spPr>
      <dgm:t>
        <a:bodyPr/>
        <a:lstStyle/>
        <a:p>
          <a:r>
            <a:rPr lang="en-GB"/>
            <a:t>I. Edición y traducción</a:t>
          </a:r>
          <a:endParaRPr lang="en-150"/>
        </a:p>
      </dgm:t>
    </dgm:pt>
    <dgm:pt modelId="{B876D335-EAF2-4A76-BDEA-559529846B91}" type="parTrans" cxnId="{EA7D95CC-E984-42EA-AD75-F224606979CF}">
      <dgm:prSet/>
      <dgm:spPr/>
      <dgm:t>
        <a:bodyPr/>
        <a:lstStyle/>
        <a:p>
          <a:endParaRPr lang="en-150"/>
        </a:p>
      </dgm:t>
    </dgm:pt>
    <dgm:pt modelId="{831A43D4-5AFF-43E4-91A2-2916FE73B647}" type="sibTrans" cxnId="{EA7D95CC-E984-42EA-AD75-F224606979CF}">
      <dgm:prSet/>
      <dgm:spPr/>
      <dgm:t>
        <a:bodyPr/>
        <a:lstStyle/>
        <a:p>
          <a:endParaRPr lang="en-150"/>
        </a:p>
      </dgm:t>
    </dgm:pt>
    <dgm:pt modelId="{75EEF3D5-AFCE-4A89-A01D-381F23B5CF84}">
      <dgm:prSet/>
      <dgm:spPr>
        <a:solidFill>
          <a:srgbClr val="35A929"/>
        </a:solidFill>
      </dgm:spPr>
      <dgm:t>
        <a:bodyPr/>
        <a:lstStyle/>
        <a:p>
          <a:r>
            <a:rPr lang="en-GB"/>
            <a:t>J. Diseño </a:t>
          </a:r>
          <a:endParaRPr lang="en-150"/>
        </a:p>
      </dgm:t>
    </dgm:pt>
    <dgm:pt modelId="{8613B87D-2886-4E6D-B256-91EC8D8F60E0}" type="parTrans" cxnId="{61AB81B0-9FB5-4562-A6CF-80792B1462D9}">
      <dgm:prSet/>
      <dgm:spPr/>
      <dgm:t>
        <a:bodyPr/>
        <a:lstStyle/>
        <a:p>
          <a:endParaRPr lang="en-150"/>
        </a:p>
      </dgm:t>
    </dgm:pt>
    <dgm:pt modelId="{FD90753A-6E8D-49E5-B27B-766926A75B63}" type="sibTrans" cxnId="{61AB81B0-9FB5-4562-A6CF-80792B1462D9}">
      <dgm:prSet/>
      <dgm:spPr/>
      <dgm:t>
        <a:bodyPr/>
        <a:lstStyle/>
        <a:p>
          <a:endParaRPr lang="en-150"/>
        </a:p>
      </dgm:t>
    </dgm:pt>
    <dgm:pt modelId="{08D40D2C-02E5-4A16-B428-8E6C791E1325}">
      <dgm:prSet/>
      <dgm:spPr>
        <a:solidFill>
          <a:srgbClr val="009900"/>
        </a:solidFill>
      </dgm:spPr>
      <dgm:t>
        <a:bodyPr/>
        <a:lstStyle/>
        <a:p>
          <a:r>
            <a:rPr lang="en-GB"/>
            <a:t>K. Aprobación final</a:t>
          </a:r>
          <a:endParaRPr lang="en-150"/>
        </a:p>
      </dgm:t>
    </dgm:pt>
    <dgm:pt modelId="{EA27AFA4-DA65-4A3E-8A06-0777591ED135}" type="parTrans" cxnId="{334FB332-F3A5-4F83-A812-A84E2CE31998}">
      <dgm:prSet/>
      <dgm:spPr/>
      <dgm:t>
        <a:bodyPr/>
        <a:lstStyle/>
        <a:p>
          <a:endParaRPr lang="en-150"/>
        </a:p>
      </dgm:t>
    </dgm:pt>
    <dgm:pt modelId="{BC4A1B27-A631-4652-BF1A-864C118F3DFD}" type="sibTrans" cxnId="{334FB332-F3A5-4F83-A812-A84E2CE31998}">
      <dgm:prSet/>
      <dgm:spPr/>
      <dgm:t>
        <a:bodyPr/>
        <a:lstStyle/>
        <a:p>
          <a:endParaRPr lang="en-150"/>
        </a:p>
      </dgm:t>
    </dgm:pt>
    <dgm:pt modelId="{FE252AF8-8B8A-469B-BFFE-89C0BD1CC7A8}">
      <dgm:prSet/>
      <dgm:spPr>
        <a:solidFill>
          <a:srgbClr val="008000"/>
        </a:solidFill>
      </dgm:spPr>
      <dgm:t>
        <a:bodyPr/>
        <a:lstStyle/>
        <a:p>
          <a:r>
            <a:rPr lang="en-GB" b="1" cap="none" spc="0">
              <a:ln w="11112">
                <a:prstDash val="solid"/>
              </a:ln>
              <a:effectLst/>
            </a:rPr>
            <a:t>L. PUBLICACIÓN DEL INFORME</a:t>
          </a:r>
          <a:endParaRPr lang="en-150" b="1" cap="none" spc="0">
            <a:ln w="11112">
              <a:prstDash val="solid"/>
            </a:ln>
            <a:effectLst/>
          </a:endParaRPr>
        </a:p>
      </dgm:t>
    </dgm:pt>
    <dgm:pt modelId="{0DE0945F-F5DA-4A09-BA72-E2DC9E8C25E8}" type="parTrans" cxnId="{9ED2A5D5-320F-49AB-9764-FC3BD5246811}">
      <dgm:prSet/>
      <dgm:spPr/>
      <dgm:t>
        <a:bodyPr/>
        <a:lstStyle/>
        <a:p>
          <a:endParaRPr lang="en-150"/>
        </a:p>
      </dgm:t>
    </dgm:pt>
    <dgm:pt modelId="{0F72FDFD-70A6-453C-B6BE-91F13F662E3B}" type="sibTrans" cxnId="{9ED2A5D5-320F-49AB-9764-FC3BD5246811}">
      <dgm:prSet/>
      <dgm:spPr/>
      <dgm:t>
        <a:bodyPr/>
        <a:lstStyle/>
        <a:p>
          <a:endParaRPr lang="en-150"/>
        </a:p>
      </dgm:t>
    </dgm:pt>
    <dgm:pt modelId="{61BA5642-A3B9-40DB-B037-B177419B5276}">
      <dgm:prSet/>
      <dgm:spPr>
        <a:solidFill>
          <a:srgbClr val="BC5610"/>
        </a:solidFill>
      </dgm:spPr>
      <dgm:t>
        <a:bodyPr/>
        <a:lstStyle/>
        <a:p>
          <a:r>
            <a:rPr lang="en-GB"/>
            <a:t>A. Entender los materiales de evaluación y el ciclo de investigación</a:t>
          </a:r>
          <a:endParaRPr lang="en-150"/>
        </a:p>
      </dgm:t>
    </dgm:pt>
    <dgm:pt modelId="{D5177BAE-824F-4312-8512-0688BA40317B}" type="parTrans" cxnId="{0D1CD99F-6FCC-42C1-8D78-8C6FBDB2020D}">
      <dgm:prSet/>
      <dgm:spPr/>
      <dgm:t>
        <a:bodyPr/>
        <a:lstStyle/>
        <a:p>
          <a:endParaRPr lang="en-150"/>
        </a:p>
      </dgm:t>
    </dgm:pt>
    <dgm:pt modelId="{1A904341-A387-47DF-835B-70B021EE99B0}" type="sibTrans" cxnId="{0D1CD99F-6FCC-42C1-8D78-8C6FBDB2020D}">
      <dgm:prSet/>
      <dgm:spPr/>
      <dgm:t>
        <a:bodyPr/>
        <a:lstStyle/>
        <a:p>
          <a:endParaRPr lang="en-150"/>
        </a:p>
      </dgm:t>
    </dgm:pt>
    <dgm:pt modelId="{AA354733-91DF-4321-A2B5-5015A38D0F95}">
      <dgm:prSet/>
      <dgm:spPr>
        <a:solidFill>
          <a:srgbClr val="D6A854"/>
        </a:solidFill>
      </dgm:spPr>
      <dgm:t>
        <a:bodyPr/>
        <a:lstStyle/>
        <a:p>
          <a:r>
            <a:rPr lang="en-GB"/>
            <a:t>D. Reunión del panel de expertos</a:t>
          </a:r>
          <a:endParaRPr lang="en-150"/>
        </a:p>
      </dgm:t>
    </dgm:pt>
    <dgm:pt modelId="{F6633B16-DC5D-47BE-B18F-EB0F8D9E64CE}" type="parTrans" cxnId="{A4D4A1F1-FC08-4C16-85F2-3ADE7CA58E8C}">
      <dgm:prSet/>
      <dgm:spPr/>
      <dgm:t>
        <a:bodyPr/>
        <a:lstStyle/>
        <a:p>
          <a:endParaRPr lang="en-150"/>
        </a:p>
      </dgm:t>
    </dgm:pt>
    <dgm:pt modelId="{3EDDE9A1-59C9-43C6-91C8-07C9225A2F51}" type="sibTrans" cxnId="{A4D4A1F1-FC08-4C16-85F2-3ADE7CA58E8C}">
      <dgm:prSet/>
      <dgm:spPr/>
      <dgm:t>
        <a:bodyPr/>
        <a:lstStyle/>
        <a:p>
          <a:endParaRPr lang="en-150"/>
        </a:p>
      </dgm:t>
    </dgm:pt>
    <dgm:pt modelId="{C4D73C15-3155-4A65-BFD7-0A17E75257F3}" type="pres">
      <dgm:prSet presAssocID="{CFC3B17E-6E46-42A9-AEDC-0ECEF8D56349}" presName="Name0" presStyleCnt="0">
        <dgm:presLayoutVars>
          <dgm:dir/>
          <dgm:resizeHandles val="exact"/>
        </dgm:presLayoutVars>
      </dgm:prSet>
      <dgm:spPr/>
    </dgm:pt>
    <dgm:pt modelId="{88258F25-2BF6-476D-8E22-3D0F909F648E}" type="pres">
      <dgm:prSet presAssocID="{CFC3B17E-6E46-42A9-AEDC-0ECEF8D56349}" presName="cycle" presStyleCnt="0"/>
      <dgm:spPr/>
    </dgm:pt>
    <dgm:pt modelId="{1859C3D9-C774-427E-B435-516DC33F50F5}" type="pres">
      <dgm:prSet presAssocID="{61BA5642-A3B9-40DB-B037-B177419B5276}" presName="nodeFirstNode" presStyleLbl="node1" presStyleIdx="0" presStyleCnt="12" custScaleX="132898" custRadScaleRad="107850" custRadScaleInc="42533">
        <dgm:presLayoutVars>
          <dgm:bulletEnabled val="1"/>
        </dgm:presLayoutVars>
      </dgm:prSet>
      <dgm:spPr/>
    </dgm:pt>
    <dgm:pt modelId="{05FB76D0-8AD5-4E1B-87C6-1DBA56D98ED3}" type="pres">
      <dgm:prSet presAssocID="{1A904341-A387-47DF-835B-70B021EE99B0}" presName="sibTransFirstNode" presStyleLbl="bgShp" presStyleIdx="0" presStyleCnt="1" custScaleX="115394"/>
      <dgm:spPr/>
    </dgm:pt>
    <dgm:pt modelId="{ADCB50C1-ECAD-4D83-8FCA-197ED6A488C0}" type="pres">
      <dgm:prSet presAssocID="{4AA9E52F-0EAF-4170-A634-A843F041C7AF}" presName="nodeFollowingNodes" presStyleLbl="node1" presStyleIdx="1" presStyleCnt="12" custScaleX="123489" custRadScaleRad="111394" custRadScaleInc="52002">
        <dgm:presLayoutVars>
          <dgm:bulletEnabled val="1"/>
        </dgm:presLayoutVars>
      </dgm:prSet>
      <dgm:spPr/>
    </dgm:pt>
    <dgm:pt modelId="{CC0F48CA-D8BA-48B1-A773-794187758CA0}" type="pres">
      <dgm:prSet presAssocID="{F66D1FD2-77E4-4988-91F6-CBD561F204AB}" presName="nodeFollowingNodes" presStyleLbl="node1" presStyleIdx="2" presStyleCnt="12" custScaleX="143722" custRadScaleRad="107541" custRadScaleInc="13556">
        <dgm:presLayoutVars>
          <dgm:bulletEnabled val="1"/>
        </dgm:presLayoutVars>
      </dgm:prSet>
      <dgm:spPr/>
    </dgm:pt>
    <dgm:pt modelId="{1D5301C9-44E2-4B9B-A3D3-14690D7D2AF0}" type="pres">
      <dgm:prSet presAssocID="{AA354733-91DF-4321-A2B5-5015A38D0F95}" presName="nodeFollowingNodes" presStyleLbl="node1" presStyleIdx="3" presStyleCnt="12" custScaleX="162501" custRadScaleRad="104738" custRadScaleInc="-17296">
        <dgm:presLayoutVars>
          <dgm:bulletEnabled val="1"/>
        </dgm:presLayoutVars>
      </dgm:prSet>
      <dgm:spPr/>
    </dgm:pt>
    <dgm:pt modelId="{C801D3E3-06A6-4202-B380-1DAA11F9969C}" type="pres">
      <dgm:prSet presAssocID="{3F9F4872-47AB-48A2-B2C4-C74BF0B2D5C1}" presName="nodeFollowingNodes" presStyleLbl="node1" presStyleIdx="4" presStyleCnt="12" custScaleX="141904" custRadScaleRad="100984" custRadScaleInc="-43009">
        <dgm:presLayoutVars>
          <dgm:bulletEnabled val="1"/>
        </dgm:presLayoutVars>
      </dgm:prSet>
      <dgm:spPr/>
    </dgm:pt>
    <dgm:pt modelId="{E6C9F5E6-C2AD-445C-A9D3-98ED14258894}" type="pres">
      <dgm:prSet presAssocID="{954843B5-E2B3-4AFF-BFA0-D692B6C286E4}" presName="nodeFollowingNodes" presStyleLbl="node1" presStyleIdx="5" presStyleCnt="12" custScaleX="146912" custRadScaleRad="90929" custRadScaleInc="-58441">
        <dgm:presLayoutVars>
          <dgm:bulletEnabled val="1"/>
        </dgm:presLayoutVars>
      </dgm:prSet>
      <dgm:spPr/>
    </dgm:pt>
    <dgm:pt modelId="{71926B65-2B98-41B4-8DCC-E7EA48A3B9A2}" type="pres">
      <dgm:prSet presAssocID="{9B389289-560A-4511-98B9-6A337C2FCC29}" presName="nodeFollowingNodes" presStyleLbl="node1" presStyleIdx="6" presStyleCnt="12" custScaleX="141714" custRadScaleRad="93174" custRadScaleInc="-10776">
        <dgm:presLayoutVars>
          <dgm:bulletEnabled val="1"/>
        </dgm:presLayoutVars>
      </dgm:prSet>
      <dgm:spPr/>
    </dgm:pt>
    <dgm:pt modelId="{A2FFEBEB-78D1-4436-9BF2-382F1862BB96}" type="pres">
      <dgm:prSet presAssocID="{30E0163B-E0C3-4BF4-A1BA-5857661E0C17}" presName="nodeFollowingNodes" presStyleLbl="node1" presStyleIdx="7" presStyleCnt="12" custScaleX="138088" custRadScaleRad="70898" custRadScaleInc="6866">
        <dgm:presLayoutVars>
          <dgm:bulletEnabled val="1"/>
        </dgm:presLayoutVars>
      </dgm:prSet>
      <dgm:spPr/>
    </dgm:pt>
    <dgm:pt modelId="{4D464777-B9A6-43B3-8D6D-122548E06F9B}" type="pres">
      <dgm:prSet presAssocID="{FF7C18B5-CB91-4A63-85E2-D25C7A912DC1}" presName="nodeFollowingNodes" presStyleLbl="node1" presStyleIdx="8" presStyleCnt="12" custScaleX="169607" custRadScaleRad="58095" custRadScaleInc="14451">
        <dgm:presLayoutVars>
          <dgm:bulletEnabled val="1"/>
        </dgm:presLayoutVars>
      </dgm:prSet>
      <dgm:spPr/>
    </dgm:pt>
    <dgm:pt modelId="{147481D2-F218-45A7-8CBD-5B5A2C0A84CA}" type="pres">
      <dgm:prSet presAssocID="{75EEF3D5-AFCE-4A89-A01D-381F23B5CF84}" presName="nodeFollowingNodes" presStyleLbl="node1" presStyleIdx="9" presStyleCnt="12" custScaleX="180499" custRadScaleRad="56122" custRadScaleInc="40141">
        <dgm:presLayoutVars>
          <dgm:bulletEnabled val="1"/>
        </dgm:presLayoutVars>
      </dgm:prSet>
      <dgm:spPr/>
    </dgm:pt>
    <dgm:pt modelId="{0000133D-B45E-43AB-AAD2-DC7446790EA7}" type="pres">
      <dgm:prSet presAssocID="{08D40D2C-02E5-4A16-B428-8E6C791E1325}" presName="nodeFollowingNodes" presStyleLbl="node1" presStyleIdx="10" presStyleCnt="12" custScaleX="180574" custRadScaleRad="70100" custRadScaleInc="59302">
        <dgm:presLayoutVars>
          <dgm:bulletEnabled val="1"/>
        </dgm:presLayoutVars>
      </dgm:prSet>
      <dgm:spPr/>
    </dgm:pt>
    <dgm:pt modelId="{E3F51ECE-0F8F-45ED-85E5-E500ADC0DA7D}" type="pres">
      <dgm:prSet presAssocID="{FE252AF8-8B8A-469B-BFFE-89C0BD1CC7A8}" presName="nodeFollowingNodes" presStyleLbl="node1" presStyleIdx="11" presStyleCnt="12" custScaleX="142820" custRadScaleRad="89538" custRadScaleInc="25075">
        <dgm:presLayoutVars>
          <dgm:bulletEnabled val="1"/>
        </dgm:presLayoutVars>
      </dgm:prSet>
      <dgm:spPr/>
    </dgm:pt>
  </dgm:ptLst>
  <dgm:cxnLst>
    <dgm:cxn modelId="{6B344F10-E666-441B-AC31-AB33C3E74327}" type="presOf" srcId="{1A904341-A387-47DF-835B-70B021EE99B0}" destId="{05FB76D0-8AD5-4E1B-87C6-1DBA56D98ED3}" srcOrd="0" destOrd="0" presId="urn:microsoft.com/office/officeart/2005/8/layout/cycle3"/>
    <dgm:cxn modelId="{ED828F17-3F3F-4760-9049-B8D3289183BC}" type="presOf" srcId="{9B389289-560A-4511-98B9-6A337C2FCC29}" destId="{71926B65-2B98-41B4-8DCC-E7EA48A3B9A2}" srcOrd="0" destOrd="0" presId="urn:microsoft.com/office/officeart/2005/8/layout/cycle3"/>
    <dgm:cxn modelId="{978CB31F-CBE9-4840-B58B-B8BE495BFAB6}" type="presOf" srcId="{FE252AF8-8B8A-469B-BFFE-89C0BD1CC7A8}" destId="{E3F51ECE-0F8F-45ED-85E5-E500ADC0DA7D}" srcOrd="0" destOrd="0" presId="urn:microsoft.com/office/officeart/2005/8/layout/cycle3"/>
    <dgm:cxn modelId="{2CBFA72B-3216-4701-A501-796476488B09}" srcId="{CFC3B17E-6E46-42A9-AEDC-0ECEF8D56349}" destId="{30E0163B-E0C3-4BF4-A1BA-5857661E0C17}" srcOrd="7" destOrd="0" parTransId="{9AFE5224-4EE2-4CF3-92FA-B247435F66ED}" sibTransId="{035F8185-0F1A-47D2-BEA1-3491932C3C6D}"/>
    <dgm:cxn modelId="{A3C9772F-1913-4FE9-8B36-5A42161C29D0}" type="presOf" srcId="{FF7C18B5-CB91-4A63-85E2-D25C7A912DC1}" destId="{4D464777-B9A6-43B3-8D6D-122548E06F9B}" srcOrd="0" destOrd="0" presId="urn:microsoft.com/office/officeart/2005/8/layout/cycle3"/>
    <dgm:cxn modelId="{334FB332-F3A5-4F83-A812-A84E2CE31998}" srcId="{CFC3B17E-6E46-42A9-AEDC-0ECEF8D56349}" destId="{08D40D2C-02E5-4A16-B428-8E6C791E1325}" srcOrd="10" destOrd="0" parTransId="{EA27AFA4-DA65-4A3E-8A06-0777591ED135}" sibTransId="{BC4A1B27-A631-4652-BF1A-864C118F3DFD}"/>
    <dgm:cxn modelId="{8A52E838-F2D6-45E3-A219-4936AEE50AAC}" type="presOf" srcId="{08D40D2C-02E5-4A16-B428-8E6C791E1325}" destId="{0000133D-B45E-43AB-AAD2-DC7446790EA7}" srcOrd="0" destOrd="0" presId="urn:microsoft.com/office/officeart/2005/8/layout/cycle3"/>
    <dgm:cxn modelId="{4FE8F06F-106B-4CA2-87CB-DA1010BE34CD}" srcId="{CFC3B17E-6E46-42A9-AEDC-0ECEF8D56349}" destId="{3F9F4872-47AB-48A2-B2C4-C74BF0B2D5C1}" srcOrd="4" destOrd="0" parTransId="{47098AC6-00C9-4691-9FB9-46BACEE47B4C}" sibTransId="{23E82CF6-5228-45D6-9416-53F3C8D03E77}"/>
    <dgm:cxn modelId="{F7330772-69BB-4350-905C-3C6AF2DBC550}" type="presOf" srcId="{3F9F4872-47AB-48A2-B2C4-C74BF0B2D5C1}" destId="{C801D3E3-06A6-4202-B380-1DAA11F9969C}" srcOrd="0" destOrd="0" presId="urn:microsoft.com/office/officeart/2005/8/layout/cycle3"/>
    <dgm:cxn modelId="{947F4857-3E08-4D43-A873-3C1E03564D5F}" type="presOf" srcId="{CFC3B17E-6E46-42A9-AEDC-0ECEF8D56349}" destId="{C4D73C15-3155-4A65-BFD7-0A17E75257F3}" srcOrd="0" destOrd="0" presId="urn:microsoft.com/office/officeart/2005/8/layout/cycle3"/>
    <dgm:cxn modelId="{0C4BD57A-0FE2-4AFC-B51B-64AF81096A60}" type="presOf" srcId="{4AA9E52F-0EAF-4170-A634-A843F041C7AF}" destId="{ADCB50C1-ECAD-4D83-8FCA-197ED6A488C0}" srcOrd="0" destOrd="0" presId="urn:microsoft.com/office/officeart/2005/8/layout/cycle3"/>
    <dgm:cxn modelId="{7FAE467D-9A6F-4933-B47E-3EF972DE0827}" type="presOf" srcId="{AA354733-91DF-4321-A2B5-5015A38D0F95}" destId="{1D5301C9-44E2-4B9B-A3D3-14690D7D2AF0}" srcOrd="0" destOrd="0" presId="urn:microsoft.com/office/officeart/2005/8/layout/cycle3"/>
    <dgm:cxn modelId="{57792A7E-251E-4D85-AF82-32FA2B1734A3}" type="presOf" srcId="{61BA5642-A3B9-40DB-B037-B177419B5276}" destId="{1859C3D9-C774-427E-B435-516DC33F50F5}" srcOrd="0" destOrd="0" presId="urn:microsoft.com/office/officeart/2005/8/layout/cycle3"/>
    <dgm:cxn modelId="{8B835D90-2012-419B-895A-6893BC72D18D}" srcId="{CFC3B17E-6E46-42A9-AEDC-0ECEF8D56349}" destId="{4AA9E52F-0EAF-4170-A634-A843F041C7AF}" srcOrd="1" destOrd="0" parTransId="{58734197-9300-4416-B797-03D66648BBF5}" sibTransId="{568278D5-555F-4980-A10A-32D68C920340}"/>
    <dgm:cxn modelId="{A82CD296-5625-4C3B-8B4D-90939EB33F60}" srcId="{CFC3B17E-6E46-42A9-AEDC-0ECEF8D56349}" destId="{954843B5-E2B3-4AFF-BFA0-D692B6C286E4}" srcOrd="5" destOrd="0" parTransId="{46A6D6F4-71C6-4C1C-B60F-18AAAFCDF898}" sibTransId="{37EBCDDE-726A-49AD-B164-BA41159C81E5}"/>
    <dgm:cxn modelId="{0D1CD99F-6FCC-42C1-8D78-8C6FBDB2020D}" srcId="{CFC3B17E-6E46-42A9-AEDC-0ECEF8D56349}" destId="{61BA5642-A3B9-40DB-B037-B177419B5276}" srcOrd="0" destOrd="0" parTransId="{D5177BAE-824F-4312-8512-0688BA40317B}" sibTransId="{1A904341-A387-47DF-835B-70B021EE99B0}"/>
    <dgm:cxn modelId="{ED7CD2A7-F864-49FD-A900-B38CEBF64FCA}" type="presOf" srcId="{F66D1FD2-77E4-4988-91F6-CBD561F204AB}" destId="{CC0F48CA-D8BA-48B1-A773-794187758CA0}" srcOrd="0" destOrd="0" presId="urn:microsoft.com/office/officeart/2005/8/layout/cycle3"/>
    <dgm:cxn modelId="{61AB81B0-9FB5-4562-A6CF-80792B1462D9}" srcId="{CFC3B17E-6E46-42A9-AEDC-0ECEF8D56349}" destId="{75EEF3D5-AFCE-4A89-A01D-381F23B5CF84}" srcOrd="9" destOrd="0" parTransId="{8613B87D-2886-4E6D-B256-91EC8D8F60E0}" sibTransId="{FD90753A-6E8D-49E5-B27B-766926A75B63}"/>
    <dgm:cxn modelId="{92B961C6-6722-4C39-8456-D77E46455898}" type="presOf" srcId="{954843B5-E2B3-4AFF-BFA0-D692B6C286E4}" destId="{E6C9F5E6-C2AD-445C-A9D3-98ED14258894}" srcOrd="0" destOrd="0" presId="urn:microsoft.com/office/officeart/2005/8/layout/cycle3"/>
    <dgm:cxn modelId="{EA7D95CC-E984-42EA-AD75-F224606979CF}" srcId="{CFC3B17E-6E46-42A9-AEDC-0ECEF8D56349}" destId="{FF7C18B5-CB91-4A63-85E2-D25C7A912DC1}" srcOrd="8" destOrd="0" parTransId="{B876D335-EAF2-4A76-BDEA-559529846B91}" sibTransId="{831A43D4-5AFF-43E4-91A2-2916FE73B647}"/>
    <dgm:cxn modelId="{9ED2A5D5-320F-49AB-9764-FC3BD5246811}" srcId="{CFC3B17E-6E46-42A9-AEDC-0ECEF8D56349}" destId="{FE252AF8-8B8A-469B-BFFE-89C0BD1CC7A8}" srcOrd="11" destOrd="0" parTransId="{0DE0945F-F5DA-4A09-BA72-E2DC9E8C25E8}" sibTransId="{0F72FDFD-70A6-453C-B6BE-91F13F662E3B}"/>
    <dgm:cxn modelId="{D2DD1EE9-0E75-4853-8EBA-BB37187625C8}" type="presOf" srcId="{30E0163B-E0C3-4BF4-A1BA-5857661E0C17}" destId="{A2FFEBEB-78D1-4436-9BF2-382F1862BB96}" srcOrd="0" destOrd="0" presId="urn:microsoft.com/office/officeart/2005/8/layout/cycle3"/>
    <dgm:cxn modelId="{F0FF4AEC-9EB1-4CA5-B84B-40271B3D017B}" type="presOf" srcId="{75EEF3D5-AFCE-4A89-A01D-381F23B5CF84}" destId="{147481D2-F218-45A7-8CBD-5B5A2C0A84CA}" srcOrd="0" destOrd="0" presId="urn:microsoft.com/office/officeart/2005/8/layout/cycle3"/>
    <dgm:cxn modelId="{A4D4A1F1-FC08-4C16-85F2-3ADE7CA58E8C}" srcId="{CFC3B17E-6E46-42A9-AEDC-0ECEF8D56349}" destId="{AA354733-91DF-4321-A2B5-5015A38D0F95}" srcOrd="3" destOrd="0" parTransId="{F6633B16-DC5D-47BE-B18F-EB0F8D9E64CE}" sibTransId="{3EDDE9A1-59C9-43C6-91C8-07C9225A2F51}"/>
    <dgm:cxn modelId="{3A4FD9F8-12CB-49F8-8F5E-7D78C3600619}" srcId="{CFC3B17E-6E46-42A9-AEDC-0ECEF8D56349}" destId="{9B389289-560A-4511-98B9-6A337C2FCC29}" srcOrd="6" destOrd="0" parTransId="{EC49A6E9-82A1-4F23-891B-D80A4A480C79}" sibTransId="{C8BF2578-7DBE-4C43-BF10-C6C74486CDA3}"/>
    <dgm:cxn modelId="{D384BDFC-FDC2-418E-B76A-48573A17561F}" srcId="{CFC3B17E-6E46-42A9-AEDC-0ECEF8D56349}" destId="{F66D1FD2-77E4-4988-91F6-CBD561F204AB}" srcOrd="2" destOrd="0" parTransId="{001953FB-B6B1-46EA-AFA2-BB6FF354CD11}" sibTransId="{20A55BC2-5077-4795-BC32-18D879E3AC59}"/>
    <dgm:cxn modelId="{49F04632-53E0-40D3-8F1D-57CF0151984F}" type="presParOf" srcId="{C4D73C15-3155-4A65-BFD7-0A17E75257F3}" destId="{88258F25-2BF6-476D-8E22-3D0F909F648E}" srcOrd="0" destOrd="0" presId="urn:microsoft.com/office/officeart/2005/8/layout/cycle3"/>
    <dgm:cxn modelId="{A296E30A-5840-465B-A1DB-AD43D757C7CB}" type="presParOf" srcId="{88258F25-2BF6-476D-8E22-3D0F909F648E}" destId="{1859C3D9-C774-427E-B435-516DC33F50F5}" srcOrd="0" destOrd="0" presId="urn:microsoft.com/office/officeart/2005/8/layout/cycle3"/>
    <dgm:cxn modelId="{06660680-671D-41CE-AB8E-D0DE10950CE0}" type="presParOf" srcId="{88258F25-2BF6-476D-8E22-3D0F909F648E}" destId="{05FB76D0-8AD5-4E1B-87C6-1DBA56D98ED3}" srcOrd="1" destOrd="0" presId="urn:microsoft.com/office/officeart/2005/8/layout/cycle3"/>
    <dgm:cxn modelId="{E378770C-1447-4880-86BE-ECA59C697F38}" type="presParOf" srcId="{88258F25-2BF6-476D-8E22-3D0F909F648E}" destId="{ADCB50C1-ECAD-4D83-8FCA-197ED6A488C0}" srcOrd="2" destOrd="0" presId="urn:microsoft.com/office/officeart/2005/8/layout/cycle3"/>
    <dgm:cxn modelId="{D7907986-B9EF-4285-BE9A-66624191A12C}" type="presParOf" srcId="{88258F25-2BF6-476D-8E22-3D0F909F648E}" destId="{CC0F48CA-D8BA-48B1-A773-794187758CA0}" srcOrd="3" destOrd="0" presId="urn:microsoft.com/office/officeart/2005/8/layout/cycle3"/>
    <dgm:cxn modelId="{E728CBCB-1882-47A9-93C9-28D6674A3A8D}" type="presParOf" srcId="{88258F25-2BF6-476D-8E22-3D0F909F648E}" destId="{1D5301C9-44E2-4B9B-A3D3-14690D7D2AF0}" srcOrd="4" destOrd="0" presId="urn:microsoft.com/office/officeart/2005/8/layout/cycle3"/>
    <dgm:cxn modelId="{AC71E88F-DF7D-4DD7-BF64-5EAF562AC0D3}" type="presParOf" srcId="{88258F25-2BF6-476D-8E22-3D0F909F648E}" destId="{C801D3E3-06A6-4202-B380-1DAA11F9969C}" srcOrd="5" destOrd="0" presId="urn:microsoft.com/office/officeart/2005/8/layout/cycle3"/>
    <dgm:cxn modelId="{2FA14C05-26F5-474F-B331-05FD78DBC040}" type="presParOf" srcId="{88258F25-2BF6-476D-8E22-3D0F909F648E}" destId="{E6C9F5E6-C2AD-445C-A9D3-98ED14258894}" srcOrd="6" destOrd="0" presId="urn:microsoft.com/office/officeart/2005/8/layout/cycle3"/>
    <dgm:cxn modelId="{3D7116E6-3306-49D3-9147-3E25975CC55A}" type="presParOf" srcId="{88258F25-2BF6-476D-8E22-3D0F909F648E}" destId="{71926B65-2B98-41B4-8DCC-E7EA48A3B9A2}" srcOrd="7" destOrd="0" presId="urn:microsoft.com/office/officeart/2005/8/layout/cycle3"/>
    <dgm:cxn modelId="{EA055C53-078B-40E7-A52D-8C543C959678}" type="presParOf" srcId="{88258F25-2BF6-476D-8E22-3D0F909F648E}" destId="{A2FFEBEB-78D1-4436-9BF2-382F1862BB96}" srcOrd="8" destOrd="0" presId="urn:microsoft.com/office/officeart/2005/8/layout/cycle3"/>
    <dgm:cxn modelId="{08265712-4479-449B-A848-F34984D6BCC8}" type="presParOf" srcId="{88258F25-2BF6-476D-8E22-3D0F909F648E}" destId="{4D464777-B9A6-43B3-8D6D-122548E06F9B}" srcOrd="9" destOrd="0" presId="urn:microsoft.com/office/officeart/2005/8/layout/cycle3"/>
    <dgm:cxn modelId="{1D86344A-EFA7-4CE8-BE4B-FE1187C59505}" type="presParOf" srcId="{88258F25-2BF6-476D-8E22-3D0F909F648E}" destId="{147481D2-F218-45A7-8CBD-5B5A2C0A84CA}" srcOrd="10" destOrd="0" presId="urn:microsoft.com/office/officeart/2005/8/layout/cycle3"/>
    <dgm:cxn modelId="{888A7316-4BCA-4B69-A150-80D3E84C9006}" type="presParOf" srcId="{88258F25-2BF6-476D-8E22-3D0F909F648E}" destId="{0000133D-B45E-43AB-AAD2-DC7446790EA7}" srcOrd="11" destOrd="0" presId="urn:microsoft.com/office/officeart/2005/8/layout/cycle3"/>
    <dgm:cxn modelId="{068B1B79-4D45-4EF0-A22A-D58EAED79ACF}" type="presParOf" srcId="{88258F25-2BF6-476D-8E22-3D0F909F648E}" destId="{E3F51ECE-0F8F-45ED-85E5-E500ADC0DA7D}" srcOrd="12" destOrd="0" presId="urn:microsoft.com/office/officeart/2005/8/layout/cycle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FB76D0-8AD5-4E1B-87C6-1DBA56D98ED3}">
      <dsp:nvSpPr>
        <dsp:cNvPr id="0" name=""/>
        <dsp:cNvSpPr/>
      </dsp:nvSpPr>
      <dsp:spPr>
        <a:xfrm>
          <a:off x="253415" y="-57307"/>
          <a:ext cx="5894476" cy="5108130"/>
        </a:xfrm>
        <a:prstGeom prst="circularArrow">
          <a:avLst>
            <a:gd name="adj1" fmla="val 5544"/>
            <a:gd name="adj2" fmla="val 330680"/>
            <a:gd name="adj3" fmla="val 14755916"/>
            <a:gd name="adj4" fmla="val 16813956"/>
            <a:gd name="adj5" fmla="val 5757"/>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859C3D9-C774-427E-B435-516DC33F50F5}">
      <dsp:nvSpPr>
        <dsp:cNvPr id="0" name=""/>
        <dsp:cNvSpPr/>
      </dsp:nvSpPr>
      <dsp:spPr>
        <a:xfrm>
          <a:off x="2542391" y="81404"/>
          <a:ext cx="1316524" cy="495313"/>
        </a:xfrm>
        <a:prstGeom prst="roundRect">
          <a:avLst/>
        </a:prstGeom>
        <a:solidFill>
          <a:srgbClr val="BC561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A. Entender los materiales de evaluación y el ciclo de investigación</a:t>
          </a:r>
          <a:endParaRPr lang="en-150" sz="800" kern="1200"/>
        </a:p>
      </dsp:txBody>
      <dsp:txXfrm>
        <a:off x="2566570" y="105583"/>
        <a:ext cx="1268166" cy="446955"/>
      </dsp:txXfrm>
    </dsp:sp>
    <dsp:sp modelId="{ADCB50C1-ECAD-4D83-8FCA-197ED6A488C0}">
      <dsp:nvSpPr>
        <dsp:cNvPr id="0" name=""/>
        <dsp:cNvSpPr/>
      </dsp:nvSpPr>
      <dsp:spPr>
        <a:xfrm>
          <a:off x="3807192" y="647588"/>
          <a:ext cx="1223316" cy="495313"/>
        </a:xfrm>
        <a:prstGeom prst="roundRect">
          <a:avLst/>
        </a:prstGeom>
        <a:solidFill>
          <a:schemeClr val="accent2">
            <a:hueOff val="-132306"/>
            <a:satOff val="-7630"/>
            <a:lumOff val="78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B. Mapear el panel de expertos</a:t>
          </a:r>
          <a:endParaRPr lang="en-150" sz="800" kern="1200"/>
        </a:p>
      </dsp:txBody>
      <dsp:txXfrm>
        <a:off x="3831371" y="671767"/>
        <a:ext cx="1174958" cy="446955"/>
      </dsp:txXfrm>
    </dsp:sp>
    <dsp:sp modelId="{CC0F48CA-D8BA-48B1-A773-794187758CA0}">
      <dsp:nvSpPr>
        <dsp:cNvPr id="0" name=""/>
        <dsp:cNvSpPr/>
      </dsp:nvSpPr>
      <dsp:spPr>
        <a:xfrm>
          <a:off x="3929299" y="1345294"/>
          <a:ext cx="1423750" cy="495313"/>
        </a:xfrm>
        <a:prstGeom prst="roundRect">
          <a:avLst/>
        </a:prstGeom>
        <a:solidFill>
          <a:srgbClr val="E6974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C. Puntuación inicial y justificación</a:t>
          </a:r>
          <a:endParaRPr lang="en-150" sz="800" kern="1200"/>
        </a:p>
      </dsp:txBody>
      <dsp:txXfrm>
        <a:off x="3953478" y="1369473"/>
        <a:ext cx="1375392" cy="446955"/>
      </dsp:txXfrm>
    </dsp:sp>
    <dsp:sp modelId="{1D5301C9-44E2-4B9B-A3D3-14690D7D2AF0}">
      <dsp:nvSpPr>
        <dsp:cNvPr id="0" name=""/>
        <dsp:cNvSpPr/>
      </dsp:nvSpPr>
      <dsp:spPr>
        <a:xfrm>
          <a:off x="4094515" y="2190740"/>
          <a:ext cx="1609780" cy="495313"/>
        </a:xfrm>
        <a:prstGeom prst="roundRect">
          <a:avLst/>
        </a:prstGeom>
        <a:solidFill>
          <a:srgbClr val="D6A85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D. Reunión del panel de expertos</a:t>
          </a:r>
          <a:endParaRPr lang="en-150" sz="800" kern="1200"/>
        </a:p>
      </dsp:txBody>
      <dsp:txXfrm>
        <a:off x="4118694" y="2214919"/>
        <a:ext cx="1561422" cy="446955"/>
      </dsp:txXfrm>
    </dsp:sp>
    <dsp:sp modelId="{C801D3E3-06A6-4202-B380-1DAA11F9969C}">
      <dsp:nvSpPr>
        <dsp:cNvPr id="0" name=""/>
        <dsp:cNvSpPr/>
      </dsp:nvSpPr>
      <dsp:spPr>
        <a:xfrm>
          <a:off x="3947309" y="3064279"/>
          <a:ext cx="1405740" cy="495313"/>
        </a:xfrm>
        <a:prstGeom prst="roundRect">
          <a:avLst/>
        </a:prstGeom>
        <a:solidFill>
          <a:srgbClr val="E1DE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E. Control de Calidad e intercambio con el consorcio sobre las puntuaciones</a:t>
          </a:r>
          <a:endParaRPr lang="en-150" sz="800" kern="1200"/>
        </a:p>
      </dsp:txBody>
      <dsp:txXfrm>
        <a:off x="3971488" y="3088458"/>
        <a:ext cx="1357382" cy="446955"/>
      </dsp:txXfrm>
    </dsp:sp>
    <dsp:sp modelId="{E6C9F5E6-C2AD-445C-A9D3-98ED14258894}">
      <dsp:nvSpPr>
        <dsp:cNvPr id="0" name=""/>
        <dsp:cNvSpPr/>
      </dsp:nvSpPr>
      <dsp:spPr>
        <a:xfrm>
          <a:off x="3422631" y="3752587"/>
          <a:ext cx="1455351" cy="495313"/>
        </a:xfrm>
        <a:prstGeom prst="roundRect">
          <a:avLst/>
        </a:prstGeom>
        <a:solidFill>
          <a:srgbClr val="C5D75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F. Agregar puntuaciones por dimensión/principio</a:t>
          </a:r>
          <a:endParaRPr lang="en-150" sz="800" kern="1200"/>
        </a:p>
      </dsp:txBody>
      <dsp:txXfrm>
        <a:off x="3446810" y="3776766"/>
        <a:ext cx="1406993" cy="446955"/>
      </dsp:txXfrm>
    </dsp:sp>
    <dsp:sp modelId="{71926B65-2B98-41B4-8DCC-E7EA48A3B9A2}">
      <dsp:nvSpPr>
        <dsp:cNvPr id="0" name=""/>
        <dsp:cNvSpPr/>
      </dsp:nvSpPr>
      <dsp:spPr>
        <a:xfrm>
          <a:off x="2124829" y="4408107"/>
          <a:ext cx="1403858" cy="495313"/>
        </a:xfrm>
        <a:prstGeom prst="roundRect">
          <a:avLst/>
        </a:prstGeom>
        <a:solidFill>
          <a:srgbClr val="98D56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G. Redactar informe narrativo</a:t>
          </a:r>
          <a:endParaRPr lang="en-150" sz="800" kern="1200"/>
        </a:p>
      </dsp:txBody>
      <dsp:txXfrm>
        <a:off x="2149008" y="4432286"/>
        <a:ext cx="1355500" cy="446955"/>
      </dsp:txXfrm>
    </dsp:sp>
    <dsp:sp modelId="{A2FFEBEB-78D1-4436-9BF2-382F1862BB96}">
      <dsp:nvSpPr>
        <dsp:cNvPr id="0" name=""/>
        <dsp:cNvSpPr/>
      </dsp:nvSpPr>
      <dsp:spPr>
        <a:xfrm>
          <a:off x="1220990" y="3692355"/>
          <a:ext cx="1367938" cy="495313"/>
        </a:xfrm>
        <a:prstGeom prst="roundRect">
          <a:avLst/>
        </a:prstGeom>
        <a:solidFill>
          <a:srgbClr val="82CD6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H. Control de calidad</a:t>
          </a:r>
          <a:endParaRPr lang="en-150" sz="800" kern="1200"/>
        </a:p>
      </dsp:txBody>
      <dsp:txXfrm>
        <a:off x="1245169" y="3716534"/>
        <a:ext cx="1319580" cy="446955"/>
      </dsp:txXfrm>
    </dsp:sp>
    <dsp:sp modelId="{4D464777-B9A6-43B3-8D6D-122548E06F9B}">
      <dsp:nvSpPr>
        <dsp:cNvPr id="0" name=""/>
        <dsp:cNvSpPr/>
      </dsp:nvSpPr>
      <dsp:spPr>
        <a:xfrm>
          <a:off x="743580" y="2935960"/>
          <a:ext cx="1680174" cy="495313"/>
        </a:xfrm>
        <a:prstGeom prst="roundRect">
          <a:avLst/>
        </a:prstGeom>
        <a:solidFill>
          <a:srgbClr val="54CD4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I. Edición y traducción</a:t>
          </a:r>
          <a:endParaRPr lang="en-150" sz="800" kern="1200"/>
        </a:p>
      </dsp:txBody>
      <dsp:txXfrm>
        <a:off x="767759" y="2960139"/>
        <a:ext cx="1631816" cy="446955"/>
      </dsp:txXfrm>
    </dsp:sp>
    <dsp:sp modelId="{147481D2-F218-45A7-8CBD-5B5A2C0A84CA}">
      <dsp:nvSpPr>
        <dsp:cNvPr id="0" name=""/>
        <dsp:cNvSpPr/>
      </dsp:nvSpPr>
      <dsp:spPr>
        <a:xfrm>
          <a:off x="627487" y="2145548"/>
          <a:ext cx="1788073" cy="495313"/>
        </a:xfrm>
        <a:prstGeom prst="roundRect">
          <a:avLst/>
        </a:prstGeom>
        <a:solidFill>
          <a:srgbClr val="35A92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J. Diseño </a:t>
          </a:r>
          <a:endParaRPr lang="en-150" sz="800" kern="1200"/>
        </a:p>
      </dsp:txBody>
      <dsp:txXfrm>
        <a:off x="651666" y="2169727"/>
        <a:ext cx="1739715" cy="446955"/>
      </dsp:txXfrm>
    </dsp:sp>
    <dsp:sp modelId="{0000133D-B45E-43AB-AAD2-DC7446790EA7}">
      <dsp:nvSpPr>
        <dsp:cNvPr id="0" name=""/>
        <dsp:cNvSpPr/>
      </dsp:nvSpPr>
      <dsp:spPr>
        <a:xfrm>
          <a:off x="774071" y="1275031"/>
          <a:ext cx="1788816" cy="495313"/>
        </a:xfrm>
        <a:prstGeom prst="roundRect">
          <a:avLst/>
        </a:prstGeom>
        <a:solidFill>
          <a:srgbClr val="0099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K. Aprobación final</a:t>
          </a:r>
          <a:endParaRPr lang="en-150" sz="800" kern="1200"/>
        </a:p>
      </dsp:txBody>
      <dsp:txXfrm>
        <a:off x="798250" y="1299210"/>
        <a:ext cx="1740458" cy="446955"/>
      </dsp:txXfrm>
    </dsp:sp>
    <dsp:sp modelId="{E3F51ECE-0F8F-45ED-85E5-E500ADC0DA7D}">
      <dsp:nvSpPr>
        <dsp:cNvPr id="0" name=""/>
        <dsp:cNvSpPr/>
      </dsp:nvSpPr>
      <dsp:spPr>
        <a:xfrm>
          <a:off x="1249844" y="586626"/>
          <a:ext cx="1414814" cy="495313"/>
        </a:xfrm>
        <a:prstGeom prst="roundRect">
          <a:avLst/>
        </a:prstGeom>
        <a:solidFill>
          <a:srgbClr val="008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cap="none" spc="0">
              <a:ln w="11112">
                <a:prstDash val="solid"/>
              </a:ln>
              <a:effectLst/>
            </a:rPr>
            <a:t>L. PUBLICACIÓN DEL INFORME</a:t>
          </a:r>
          <a:endParaRPr lang="en-150" sz="800" b="1" kern="1200" cap="none" spc="0">
            <a:ln w="11112">
              <a:prstDash val="solid"/>
            </a:ln>
            <a:effectLst/>
          </a:endParaRPr>
        </a:p>
      </dsp:txBody>
      <dsp:txXfrm>
        <a:off x="1274023" y="610805"/>
        <a:ext cx="1366456" cy="44695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Props1.xml><?xml version="1.0" encoding="utf-8"?>
<ds:datastoreItem xmlns:ds="http://schemas.openxmlformats.org/officeDocument/2006/customXml" ds:itemID="{54987C72-3E2C-4726-9869-54D87B2364AB}">
  <ds:schemaRefs>
    <ds:schemaRef ds:uri="http://schemas.openxmlformats.org/officeDocument/2006/bibliography"/>
  </ds:schemaRefs>
</ds:datastoreItem>
</file>

<file path=customXml/itemProps2.xml><?xml version="1.0" encoding="utf-8"?>
<ds:datastoreItem xmlns:ds="http://schemas.openxmlformats.org/officeDocument/2006/customXml" ds:itemID="{71AFB482-5DF7-4B9C-885F-88E6626C9F2B}"/>
</file>

<file path=customXml/itemProps3.xml><?xml version="1.0" encoding="utf-8"?>
<ds:datastoreItem xmlns:ds="http://schemas.openxmlformats.org/officeDocument/2006/customXml" ds:itemID="{2D8061C1-C342-4575-ACF9-8571CE5CB872}"/>
</file>

<file path=customXml/itemProps4.xml><?xml version="1.0" encoding="utf-8"?>
<ds:datastoreItem xmlns:ds="http://schemas.openxmlformats.org/officeDocument/2006/customXml" ds:itemID="{8876103F-521F-45C1-929A-34DD0F41F14B}"/>
</file>

<file path=docProps/app.xml><?xml version="1.0" encoding="utf-8"?>
<Properties xmlns="http://schemas.openxmlformats.org/officeDocument/2006/extended-properties" xmlns:vt="http://schemas.openxmlformats.org/officeDocument/2006/docPropsVTypes">
  <Template>Normal</Template>
  <TotalTime>446</TotalTime>
  <Pages>42</Pages>
  <Words>13869</Words>
  <Characters>79890</Characters>
  <Application>Microsoft Office Word</Application>
  <DocSecurity>0</DocSecurity>
  <Lines>1902</Lines>
  <Paragraphs>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Serra Mingot</dc:creator>
  <cp:keywords/>
  <dc:description/>
  <cp:lastModifiedBy>Julieta   Zurbrigg</cp:lastModifiedBy>
  <cp:revision>97</cp:revision>
  <dcterms:created xsi:type="dcterms:W3CDTF">2025-03-06T16:48:00Z</dcterms:created>
  <dcterms:modified xsi:type="dcterms:W3CDTF">2025-04-10T13:55:00Z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ies>
</file>